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E4" w:rsidRDefault="00D058E4">
      <w:pPr>
        <w:pStyle w:val="Title"/>
      </w:pPr>
      <w:r>
        <w:rPr>
          <w:rFonts w:ascii="Times New Roman" w:hAnsi="Times New Roman" w:cs="Times New Roman"/>
          <w:sz w:val="24"/>
        </w:rPr>
        <w:t>Transition &amp; Closure Plan</w:t>
      </w:r>
    </w:p>
    <w:p w:rsidR="00D058E4" w:rsidRDefault="00D058E4">
      <w:pPr>
        <w:jc w:val="center"/>
        <w:rPr>
          <w:i/>
          <w:iCs/>
        </w:rPr>
      </w:pPr>
      <w:r>
        <w:rPr>
          <w:i/>
          <w:iCs/>
        </w:rPr>
        <w:t>&lt;Insert State Route, Project Name&gt;</w:t>
      </w:r>
    </w:p>
    <w:p w:rsidR="00D058E4" w:rsidRDefault="00D058E4">
      <w:pPr>
        <w:jc w:val="center"/>
        <w:rPr>
          <w:i/>
          <w:iCs/>
        </w:rPr>
      </w:pPr>
      <w:r>
        <w:rPr>
          <w:i/>
          <w:iCs/>
        </w:rPr>
        <w:t>&lt;Insert Project MP limits&gt;</w:t>
      </w:r>
    </w:p>
    <w:p w:rsidR="00D058E4" w:rsidRDefault="00D058E4">
      <w:pPr>
        <w:jc w:val="center"/>
      </w:pPr>
      <w:r>
        <w:t xml:space="preserve">Project Manager: </w:t>
      </w:r>
      <w:r>
        <w:rPr>
          <w:i/>
          <w:iCs/>
        </w:rPr>
        <w:t>&lt;Insert name here&gt;</w:t>
      </w:r>
    </w:p>
    <w:p w:rsidR="00D058E4" w:rsidRDefault="00D058E4">
      <w:pPr>
        <w:pStyle w:val="Title"/>
        <w:outlineLvl w:val="0"/>
      </w:pPr>
      <w:r>
        <w:rPr>
          <w:rFonts w:ascii="Times New Roman" w:hAnsi="Times New Roman" w:cs="Times New Roman"/>
          <w:b w:val="0"/>
          <w:bCs w:val="0"/>
          <w:i/>
          <w:iCs/>
          <w:sz w:val="24"/>
        </w:rPr>
        <w:t>&lt;Date&gt;</w:t>
      </w:r>
    </w:p>
    <w:p w:rsidR="00D058E4" w:rsidRDefault="00D058E4"/>
    <w:p w:rsidR="002533C3" w:rsidRDefault="00D058E4" w:rsidP="002533C3">
      <w:pPr>
        <w:pStyle w:val="BodyText"/>
      </w:pPr>
      <w:r>
        <w:t xml:space="preserve">Optimal success for this project – realization of the project purpose - requires delivery of a quality product resulting in satisfied customers and conducting a deliberate closure – including an effective “hand-off” to a subsequent phase and team (i.e. transition or handoff from Design to Construction). </w:t>
      </w:r>
      <w:r w:rsidR="00034D24">
        <w:t xml:space="preserve"> </w:t>
      </w:r>
    </w:p>
    <w:p w:rsidR="00034D24" w:rsidRDefault="00034D24" w:rsidP="002533C3">
      <w:pPr>
        <w:pStyle w:val="BodyText"/>
      </w:pPr>
      <w:r>
        <w:t>The following elements describe the &lt;</w:t>
      </w:r>
      <w:r w:rsidRPr="002533C3">
        <w:t>transition or closure</w:t>
      </w:r>
      <w:r>
        <w:t>&gt; of &lt;</w:t>
      </w:r>
      <w:r w:rsidRPr="002533C3">
        <w:t>identify project or phase</w:t>
      </w:r>
      <w:r>
        <w:t>&gt;:</w:t>
      </w:r>
    </w:p>
    <w:p w:rsidR="00D058E4" w:rsidRDefault="00D058E4">
      <w:pPr>
        <w:pStyle w:val="Number"/>
      </w:pPr>
      <w:r>
        <w:t>Transition Points</w:t>
      </w:r>
    </w:p>
    <w:p w:rsidR="00D058E4" w:rsidRDefault="00D058E4" w:rsidP="002533C3">
      <w:pPr>
        <w:pStyle w:val="BodyTextIndent"/>
        <w:ind w:left="360"/>
      </w:pPr>
      <w:r>
        <w:t>Identify the major activities and milestones of the project that will require a formal transition process. Consider the following criteria:</w:t>
      </w:r>
    </w:p>
    <w:p w:rsidR="00D058E4" w:rsidRDefault="00D058E4">
      <w:pPr>
        <w:pStyle w:val="BodyTextIndent"/>
        <w:numPr>
          <w:ilvl w:val="0"/>
          <w:numId w:val="12"/>
        </w:numPr>
        <w:overflowPunct w:val="0"/>
        <w:autoSpaceDE w:val="0"/>
        <w:autoSpaceDN w:val="0"/>
        <w:adjustRightInd w:val="0"/>
        <w:spacing w:before="0" w:after="0"/>
        <w:textAlignment w:val="baseline"/>
        <w:rPr>
          <w:i/>
          <w:iCs/>
          <w:szCs w:val="20"/>
        </w:rPr>
      </w:pPr>
      <w:bookmarkStart w:id="0" w:name="_GoBack"/>
      <w:bookmarkEnd w:id="0"/>
      <w:r>
        <w:rPr>
          <w:i/>
          <w:iCs/>
          <w:szCs w:val="20"/>
        </w:rPr>
        <w:t>Delivery and acceptance of major elements of the work</w:t>
      </w:r>
    </w:p>
    <w:p w:rsidR="00D058E4" w:rsidRDefault="00D058E4">
      <w:pPr>
        <w:pStyle w:val="BodyTextIndent"/>
        <w:numPr>
          <w:ilvl w:val="0"/>
          <w:numId w:val="12"/>
        </w:numPr>
        <w:overflowPunct w:val="0"/>
        <w:autoSpaceDE w:val="0"/>
        <w:autoSpaceDN w:val="0"/>
        <w:adjustRightInd w:val="0"/>
        <w:spacing w:before="0" w:after="0"/>
        <w:textAlignment w:val="baseline"/>
        <w:rPr>
          <w:i/>
          <w:iCs/>
          <w:szCs w:val="20"/>
        </w:rPr>
      </w:pPr>
      <w:r>
        <w:rPr>
          <w:i/>
          <w:iCs/>
          <w:szCs w:val="20"/>
        </w:rPr>
        <w:t>Transfer of responsibility for all or a major portion of the project</w:t>
      </w:r>
    </w:p>
    <w:p w:rsidR="00D058E4" w:rsidRDefault="00D058E4">
      <w:pPr>
        <w:pStyle w:val="BodyTextIndent"/>
        <w:numPr>
          <w:ilvl w:val="0"/>
          <w:numId w:val="12"/>
        </w:numPr>
        <w:overflowPunct w:val="0"/>
        <w:autoSpaceDE w:val="0"/>
        <w:autoSpaceDN w:val="0"/>
        <w:adjustRightInd w:val="0"/>
        <w:spacing w:before="0" w:after="0"/>
        <w:textAlignment w:val="baseline"/>
        <w:rPr>
          <w:i/>
          <w:iCs/>
          <w:szCs w:val="20"/>
        </w:rPr>
      </w:pPr>
      <w:r>
        <w:rPr>
          <w:i/>
          <w:iCs/>
          <w:szCs w:val="20"/>
        </w:rPr>
        <w:t>Major turnover of project staff, resources or location of performance</w:t>
      </w:r>
    </w:p>
    <w:p w:rsidR="00D058E4" w:rsidRPr="00D058E4" w:rsidRDefault="00A82ED7" w:rsidP="002533C3">
      <w:pPr>
        <w:pStyle w:val="BodyTextIndent"/>
        <w:spacing w:after="120"/>
        <w:ind w:left="360"/>
      </w:pPr>
      <w:r>
        <w:t>Include those activities as discrete work elements in the project schedule</w:t>
      </w:r>
      <w:r w:rsidR="00367F49">
        <w:t>.</w:t>
      </w:r>
      <w:r>
        <w:t xml:space="preserve"> </w:t>
      </w:r>
      <w:r w:rsidR="00D058E4" w:rsidRPr="00D058E4">
        <w:t>Establish project specific acceptance requirements and procedures to ensure completion of each activity, phase, or the project and financial closeout.</w:t>
      </w:r>
    </w:p>
    <w:p w:rsidR="00D058E4" w:rsidRDefault="00367F49" w:rsidP="002533C3">
      <w:pPr>
        <w:pStyle w:val="BodyTextIndent"/>
        <w:ind w:left="360"/>
      </w:pPr>
      <w:r>
        <w:t>Identify the steps and requirements to demobilize staff and resources.</w:t>
      </w:r>
    </w:p>
    <w:p w:rsidR="00034D24" w:rsidRDefault="00034D24" w:rsidP="00034D24">
      <w:pPr>
        <w:pStyle w:val="BodyTextIndent"/>
        <w:numPr>
          <w:ilvl w:val="0"/>
          <w:numId w:val="12"/>
        </w:numPr>
        <w:overflowPunct w:val="0"/>
        <w:autoSpaceDE w:val="0"/>
        <w:autoSpaceDN w:val="0"/>
        <w:adjustRightInd w:val="0"/>
        <w:spacing w:before="0" w:after="0"/>
        <w:textAlignment w:val="baseline"/>
        <w:rPr>
          <w:i/>
          <w:iCs/>
          <w:szCs w:val="20"/>
        </w:rPr>
      </w:pPr>
      <w:r>
        <w:rPr>
          <w:i/>
          <w:iCs/>
          <w:szCs w:val="20"/>
        </w:rPr>
        <w:t>Identify and describe transition points in the project and how staff will transition to their next assignment.</w:t>
      </w:r>
    </w:p>
    <w:p w:rsidR="00034D24" w:rsidRDefault="00034D24" w:rsidP="00034D24">
      <w:pPr>
        <w:pStyle w:val="BodyTextIndent"/>
        <w:numPr>
          <w:ilvl w:val="0"/>
          <w:numId w:val="12"/>
        </w:numPr>
        <w:overflowPunct w:val="0"/>
        <w:autoSpaceDE w:val="0"/>
        <w:autoSpaceDN w:val="0"/>
        <w:adjustRightInd w:val="0"/>
        <w:spacing w:before="0" w:after="0"/>
        <w:textAlignment w:val="baseline"/>
        <w:rPr>
          <w:i/>
          <w:iCs/>
          <w:szCs w:val="20"/>
        </w:rPr>
      </w:pPr>
      <w:r>
        <w:rPr>
          <w:i/>
          <w:iCs/>
          <w:szCs w:val="20"/>
        </w:rPr>
        <w:t>Identify activities, steps and requirements for demobilizing, returning or terminating facilities, equipment and services as they are acquired.</w:t>
      </w:r>
    </w:p>
    <w:p w:rsidR="00034D24" w:rsidRDefault="00034D24" w:rsidP="00034D24">
      <w:pPr>
        <w:pStyle w:val="BodyTextIndent"/>
        <w:numPr>
          <w:ilvl w:val="0"/>
          <w:numId w:val="12"/>
        </w:numPr>
        <w:overflowPunct w:val="0"/>
        <w:autoSpaceDE w:val="0"/>
        <w:autoSpaceDN w:val="0"/>
        <w:adjustRightInd w:val="0"/>
        <w:spacing w:before="0" w:after="0"/>
        <w:textAlignment w:val="baseline"/>
        <w:rPr>
          <w:i/>
          <w:iCs/>
          <w:szCs w:val="20"/>
        </w:rPr>
      </w:pPr>
      <w:r>
        <w:rPr>
          <w:i/>
          <w:iCs/>
          <w:szCs w:val="20"/>
        </w:rPr>
        <w:t>Establish roles, responsibilities, budgets and schedules for the activities involved in demobilizing facilities, equipment and services associated with each transition event.</w:t>
      </w:r>
    </w:p>
    <w:p w:rsidR="00034D24" w:rsidRPr="00034D24" w:rsidRDefault="00034D24" w:rsidP="00034D24">
      <w:pPr>
        <w:pStyle w:val="Number"/>
      </w:pPr>
      <w:r w:rsidRPr="00034D24">
        <w:t>Review and Document Lessons Learned.</w:t>
      </w:r>
    </w:p>
    <w:p w:rsidR="00034D24" w:rsidRPr="00034D24" w:rsidRDefault="00034D24" w:rsidP="00034D24">
      <w:pPr>
        <w:numPr>
          <w:ilvl w:val="0"/>
          <w:numId w:val="12"/>
        </w:numPr>
        <w:overflowPunct w:val="0"/>
        <w:autoSpaceDE w:val="0"/>
        <w:autoSpaceDN w:val="0"/>
        <w:adjustRightInd w:val="0"/>
        <w:textAlignment w:val="baseline"/>
        <w:rPr>
          <w:rFonts w:ascii="Book Antiqua" w:hAnsi="Book Antiqua"/>
          <w:i/>
          <w:iCs/>
          <w:sz w:val="22"/>
          <w:szCs w:val="20"/>
        </w:rPr>
      </w:pPr>
      <w:r w:rsidRPr="00034D24">
        <w:rPr>
          <w:rFonts w:ascii="Book Antiqua" w:hAnsi="Book Antiqua"/>
          <w:i/>
          <w:iCs/>
          <w:sz w:val="22"/>
          <w:szCs w:val="20"/>
        </w:rPr>
        <w:t>Establish specific project team activities and responsibilities for identifying, compiling, documenting, and reporting lessons learned throughout the life of the project.</w:t>
      </w:r>
    </w:p>
    <w:p w:rsidR="00034D24" w:rsidRPr="00034D24" w:rsidRDefault="00034D24" w:rsidP="00034D24">
      <w:pPr>
        <w:numPr>
          <w:ilvl w:val="0"/>
          <w:numId w:val="12"/>
        </w:numPr>
        <w:overflowPunct w:val="0"/>
        <w:autoSpaceDE w:val="0"/>
        <w:autoSpaceDN w:val="0"/>
        <w:adjustRightInd w:val="0"/>
        <w:textAlignment w:val="baseline"/>
        <w:rPr>
          <w:rFonts w:ascii="Book Antiqua" w:hAnsi="Book Antiqua"/>
          <w:i/>
          <w:iCs/>
          <w:sz w:val="22"/>
          <w:szCs w:val="20"/>
        </w:rPr>
      </w:pPr>
      <w:r w:rsidRPr="00034D24">
        <w:rPr>
          <w:rFonts w:ascii="Book Antiqua" w:hAnsi="Book Antiqua"/>
          <w:i/>
          <w:iCs/>
          <w:sz w:val="22"/>
          <w:szCs w:val="20"/>
        </w:rPr>
        <w:t xml:space="preserve">Lessons learned should be a standing agenda item at project status meetings. </w:t>
      </w:r>
    </w:p>
    <w:p w:rsidR="00034D24" w:rsidRPr="00034D24" w:rsidRDefault="00034D24" w:rsidP="00034D24">
      <w:pPr>
        <w:numPr>
          <w:ilvl w:val="0"/>
          <w:numId w:val="12"/>
        </w:numPr>
        <w:overflowPunct w:val="0"/>
        <w:autoSpaceDE w:val="0"/>
        <w:autoSpaceDN w:val="0"/>
        <w:adjustRightInd w:val="0"/>
        <w:textAlignment w:val="baseline"/>
        <w:rPr>
          <w:rFonts w:ascii="Book Antiqua" w:hAnsi="Book Antiqua"/>
          <w:i/>
          <w:iCs/>
          <w:sz w:val="22"/>
          <w:szCs w:val="20"/>
        </w:rPr>
      </w:pPr>
      <w:r w:rsidRPr="00034D24">
        <w:rPr>
          <w:rFonts w:ascii="Book Antiqua" w:hAnsi="Book Antiqua"/>
          <w:i/>
          <w:iCs/>
          <w:sz w:val="22"/>
          <w:szCs w:val="20"/>
        </w:rPr>
        <w:t>As each transition point or final closure is reached, compile, report, and document lessons learned.</w:t>
      </w:r>
    </w:p>
    <w:p w:rsidR="00034D24" w:rsidRDefault="00034D24" w:rsidP="00034D24">
      <w:pPr>
        <w:pStyle w:val="Number"/>
      </w:pPr>
      <w:r>
        <w:t>Archive</w:t>
      </w:r>
    </w:p>
    <w:p w:rsidR="00034D24" w:rsidRDefault="00034D24" w:rsidP="002533C3">
      <w:pPr>
        <w:pStyle w:val="BodyTextIndent2"/>
        <w:spacing w:before="60" w:after="60"/>
      </w:pPr>
      <w:r>
        <w:t xml:space="preserve">Review current archiving policies with Region/Organization Management and determine the specific archiving requirements </w:t>
      </w:r>
      <w:r w:rsidR="00367F49">
        <w:t>and Electronic Content Management (ECM) processes</w:t>
      </w:r>
      <w:r>
        <w:t>.</w:t>
      </w:r>
    </w:p>
    <w:p w:rsidR="00034D24" w:rsidRPr="002533C3" w:rsidRDefault="00034D24" w:rsidP="002533C3">
      <w:pPr>
        <w:numPr>
          <w:ilvl w:val="0"/>
          <w:numId w:val="12"/>
        </w:numPr>
        <w:overflowPunct w:val="0"/>
        <w:autoSpaceDE w:val="0"/>
        <w:autoSpaceDN w:val="0"/>
        <w:adjustRightInd w:val="0"/>
        <w:textAlignment w:val="baseline"/>
        <w:rPr>
          <w:rFonts w:ascii="Book Antiqua" w:hAnsi="Book Antiqua"/>
          <w:i/>
          <w:iCs/>
          <w:sz w:val="22"/>
          <w:szCs w:val="20"/>
        </w:rPr>
      </w:pPr>
      <w:r w:rsidRPr="002533C3">
        <w:rPr>
          <w:rFonts w:ascii="Book Antiqua" w:hAnsi="Book Antiqua"/>
          <w:i/>
          <w:iCs/>
          <w:sz w:val="22"/>
          <w:szCs w:val="20"/>
        </w:rPr>
        <w:t>Develop specific record keeping instructions for document management during the course of the project. Include instructions for maintaining hardcopy and electronic files, sequestering original documents, dates and project information on documents, copying documents, and the maintenance of document logs.</w:t>
      </w:r>
    </w:p>
    <w:p w:rsidR="00034D24" w:rsidRPr="00034D24" w:rsidRDefault="00034D24" w:rsidP="00034D24">
      <w:pPr>
        <w:pStyle w:val="Number"/>
      </w:pPr>
      <w:r w:rsidRPr="00034D24">
        <w:t>Evaluate, Reward and Recognize team members.</w:t>
      </w:r>
    </w:p>
    <w:p w:rsidR="00034D24" w:rsidRPr="00D058E4" w:rsidRDefault="00034D24" w:rsidP="00D058E4">
      <w:pPr>
        <w:pStyle w:val="BodyTextIndent2"/>
      </w:pPr>
      <w:r w:rsidRPr="00D058E4">
        <w:t>Review WSDOT rewards and recognition requirements and policies.</w:t>
      </w:r>
    </w:p>
    <w:p w:rsidR="00034D24" w:rsidRPr="002533C3" w:rsidRDefault="00034D24" w:rsidP="002533C3">
      <w:pPr>
        <w:numPr>
          <w:ilvl w:val="0"/>
          <w:numId w:val="12"/>
        </w:numPr>
        <w:overflowPunct w:val="0"/>
        <w:autoSpaceDE w:val="0"/>
        <w:autoSpaceDN w:val="0"/>
        <w:adjustRightInd w:val="0"/>
        <w:textAlignment w:val="baseline"/>
        <w:rPr>
          <w:rFonts w:ascii="Book Antiqua" w:hAnsi="Book Antiqua"/>
          <w:i/>
          <w:iCs/>
          <w:sz w:val="22"/>
          <w:szCs w:val="20"/>
        </w:rPr>
      </w:pPr>
      <w:r w:rsidRPr="002533C3">
        <w:rPr>
          <w:rFonts w:ascii="Book Antiqua" w:hAnsi="Book Antiqua"/>
          <w:i/>
          <w:iCs/>
          <w:sz w:val="22"/>
          <w:szCs w:val="20"/>
        </w:rPr>
        <w:lastRenderedPageBreak/>
        <w:t>Identify “target” performance metrics in key areas that are critical to project success. The metrics should be strong indicators of performance beyond expectations and should be “stretch” targets that are achievable but require significant “extra” effort to accomplish.</w:t>
      </w:r>
    </w:p>
    <w:p w:rsidR="00D058E4" w:rsidRPr="002533C3" w:rsidRDefault="00034D24" w:rsidP="002533C3">
      <w:pPr>
        <w:numPr>
          <w:ilvl w:val="0"/>
          <w:numId w:val="12"/>
        </w:numPr>
        <w:overflowPunct w:val="0"/>
        <w:autoSpaceDE w:val="0"/>
        <w:autoSpaceDN w:val="0"/>
        <w:adjustRightInd w:val="0"/>
        <w:textAlignment w:val="baseline"/>
        <w:rPr>
          <w:rFonts w:ascii="Book Antiqua" w:hAnsi="Book Antiqua"/>
          <w:i/>
          <w:iCs/>
          <w:sz w:val="22"/>
          <w:szCs w:val="20"/>
        </w:rPr>
      </w:pPr>
      <w:r w:rsidRPr="002533C3">
        <w:rPr>
          <w:rFonts w:ascii="Book Antiqua" w:hAnsi="Book Antiqua"/>
          <w:i/>
          <w:iCs/>
          <w:sz w:val="22"/>
          <w:szCs w:val="20"/>
        </w:rPr>
        <w:t xml:space="preserve">Based on these target performance metrics, identify appropriate project rewards and recognition for exemplary performance. </w:t>
      </w:r>
    </w:p>
    <w:sectPr w:rsidR="00D058E4" w:rsidRPr="002533C3" w:rsidSect="002533C3">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1E" w:rsidRDefault="00D64D1E">
      <w:r>
        <w:separator/>
      </w:r>
    </w:p>
  </w:endnote>
  <w:endnote w:type="continuationSeparator" w:id="0">
    <w:p w:rsidR="00D64D1E" w:rsidRDefault="00D6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D7" w:rsidRDefault="00A82ED7">
    <w:pPr>
      <w:pStyle w:val="Header"/>
      <w:pBdr>
        <w:bottom w:val="single" w:sz="6" w:space="1" w:color="auto"/>
      </w:pBdr>
      <w:tabs>
        <w:tab w:val="clear" w:pos="4320"/>
        <w:tab w:val="clear" w:pos="8640"/>
      </w:tabs>
    </w:pPr>
  </w:p>
  <w:p w:rsidR="00A82ED7" w:rsidRDefault="00A82ED7"/>
  <w:p w:rsidR="00A82ED7" w:rsidRPr="008919DF" w:rsidRDefault="00367F49">
    <w:pPr>
      <w:rPr>
        <w:color w:val="7F7F7F"/>
      </w:rPr>
    </w:pPr>
    <w:r w:rsidRPr="008919DF">
      <w:rPr>
        <w:color w:val="7F7F7F"/>
      </w:rPr>
      <w:t>Revised October 2012</w:t>
    </w:r>
    <w:r w:rsidR="00A82ED7" w:rsidRPr="008919DF">
      <w:rPr>
        <w:color w:val="7F7F7F"/>
      </w:rPr>
      <w:tab/>
    </w:r>
    <w:r w:rsidR="00A82ED7" w:rsidRPr="008919DF">
      <w:rPr>
        <w:color w:val="7F7F7F"/>
      </w:rPr>
      <w:tab/>
    </w:r>
    <w:r w:rsidR="00A82ED7" w:rsidRPr="008919DF">
      <w:rPr>
        <w:color w:val="7F7F7F"/>
      </w:rPr>
      <w:tab/>
    </w:r>
    <w:r w:rsidR="00A82ED7" w:rsidRPr="008919DF">
      <w:rPr>
        <w:color w:val="7F7F7F"/>
      </w:rPr>
      <w:tab/>
    </w:r>
    <w:r w:rsidR="00A82ED7" w:rsidRPr="008919DF">
      <w:rPr>
        <w:color w:val="7F7F7F"/>
      </w:rPr>
      <w:tab/>
    </w:r>
    <w:r w:rsidR="00A82ED7" w:rsidRPr="008919DF">
      <w:rPr>
        <w:color w:val="7F7F7F"/>
      </w:rPr>
      <w:tab/>
    </w:r>
    <w:r w:rsidR="00A82ED7" w:rsidRPr="008919DF">
      <w:rPr>
        <w:color w:val="7F7F7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1E" w:rsidRDefault="00D64D1E">
      <w:r>
        <w:separator/>
      </w:r>
    </w:p>
  </w:footnote>
  <w:footnote w:type="continuationSeparator" w:id="0">
    <w:p w:rsidR="00D64D1E" w:rsidRDefault="00D64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D4E"/>
    <w:multiLevelType w:val="hybridMultilevel"/>
    <w:tmpl w:val="D8EA3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848B4"/>
    <w:multiLevelType w:val="hybridMultilevel"/>
    <w:tmpl w:val="09288FFA"/>
    <w:lvl w:ilvl="0" w:tplc="A8A2CDF6">
      <w:start w:val="1"/>
      <w:numFmt w:val="bullet"/>
      <w:pStyle w:val="TextBullet"/>
      <w:lvlText w:val=""/>
      <w:lvlJc w:val="left"/>
      <w:pPr>
        <w:tabs>
          <w:tab w:val="num" w:pos="1080"/>
        </w:tabs>
        <w:ind w:left="1080" w:hanging="360"/>
      </w:pPr>
      <w:rPr>
        <w:rFonts w:ascii="Symbol" w:hAnsi="Symbol" w:hint="default"/>
        <w:b/>
        <w:i w:val="0"/>
        <w:color w:val="auto"/>
        <w:sz w:val="20"/>
        <w:szCs w:val="20"/>
      </w:rPr>
    </w:lvl>
    <w:lvl w:ilvl="1" w:tplc="156E6612">
      <w:start w:val="1"/>
      <w:numFmt w:val="decimal"/>
      <w:lvlRestart w:val="0"/>
      <w:lvlText w:val="%2."/>
      <w:lvlJc w:val="left"/>
      <w:pPr>
        <w:tabs>
          <w:tab w:val="num" w:pos="-1080"/>
        </w:tabs>
        <w:ind w:left="-1080" w:hanging="360"/>
      </w:pPr>
      <w:rPr>
        <w:b/>
        <w:i w:val="0"/>
        <w:color w:val="03405B"/>
        <w:sz w:val="20"/>
        <w:szCs w:val="20"/>
      </w:rPr>
    </w:lvl>
    <w:lvl w:ilvl="2" w:tplc="104A444A">
      <w:start w:val="1"/>
      <w:numFmt w:val="bullet"/>
      <w:lvlText w:val=""/>
      <w:lvlJc w:val="left"/>
      <w:pPr>
        <w:tabs>
          <w:tab w:val="num" w:pos="-1080"/>
        </w:tabs>
        <w:ind w:left="-720" w:hanging="360"/>
      </w:pPr>
      <w:rPr>
        <w:rFonts w:ascii="Symbol" w:hAnsi="Symbol" w:hint="default"/>
        <w:b/>
        <w:i w:val="0"/>
        <w:color w:val="03405B"/>
        <w:sz w:val="20"/>
        <w:szCs w:val="2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 w15:restartNumberingAfterBreak="0">
    <w:nsid w:val="0B2B26B1"/>
    <w:multiLevelType w:val="singleLevel"/>
    <w:tmpl w:val="CC8A526A"/>
    <w:lvl w:ilvl="0">
      <w:start w:val="1"/>
      <w:numFmt w:val="bullet"/>
      <w:lvlText w:val=""/>
      <w:lvlJc w:val="left"/>
      <w:pPr>
        <w:tabs>
          <w:tab w:val="num" w:pos="360"/>
        </w:tabs>
        <w:ind w:left="720" w:hanging="360"/>
      </w:pPr>
      <w:rPr>
        <w:rFonts w:ascii="Symbol" w:hAnsi="Symbol" w:hint="default"/>
        <w:color w:val="03405B"/>
      </w:rPr>
    </w:lvl>
  </w:abstractNum>
  <w:abstractNum w:abstractNumId="3" w15:restartNumberingAfterBreak="0">
    <w:nsid w:val="20DB33C6"/>
    <w:multiLevelType w:val="hybridMultilevel"/>
    <w:tmpl w:val="D5801B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1644A"/>
    <w:multiLevelType w:val="hybridMultilevel"/>
    <w:tmpl w:val="7DCECE5A"/>
    <w:lvl w:ilvl="0" w:tplc="753034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6C168F"/>
    <w:multiLevelType w:val="multilevel"/>
    <w:tmpl w:val="4CFA90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C57501F"/>
    <w:multiLevelType w:val="hybridMultilevel"/>
    <w:tmpl w:val="FC6A1610"/>
    <w:lvl w:ilvl="0" w:tplc="E24C357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B6649"/>
    <w:multiLevelType w:val="singleLevel"/>
    <w:tmpl w:val="C6CC0BAE"/>
    <w:lvl w:ilvl="0">
      <w:start w:val="1"/>
      <w:numFmt w:val="bullet"/>
      <w:lvlText w:val=""/>
      <w:lvlJc w:val="left"/>
      <w:pPr>
        <w:tabs>
          <w:tab w:val="num" w:pos="360"/>
        </w:tabs>
        <w:ind w:left="720" w:hanging="360"/>
      </w:pPr>
      <w:rPr>
        <w:rFonts w:ascii="Symbol" w:hAnsi="Symbol" w:hint="default"/>
      </w:rPr>
    </w:lvl>
  </w:abstractNum>
  <w:abstractNum w:abstractNumId="8" w15:restartNumberingAfterBreak="0">
    <w:nsid w:val="422F3F62"/>
    <w:multiLevelType w:val="hybridMultilevel"/>
    <w:tmpl w:val="C624F4EA"/>
    <w:lvl w:ilvl="0" w:tplc="55BEB69E">
      <w:start w:val="1"/>
      <w:numFmt w:val="bullet"/>
      <w:lvlText w:val=""/>
      <w:lvlJc w:val="left"/>
      <w:pPr>
        <w:tabs>
          <w:tab w:val="num" w:pos="-1008"/>
        </w:tabs>
        <w:ind w:left="-1008" w:hanging="432"/>
      </w:pPr>
      <w:rPr>
        <w:rFonts w:ascii="Symbol" w:hAnsi="Symbol" w:hint="default"/>
        <w:b/>
        <w:i w:val="0"/>
        <w:color w:val="auto"/>
        <w:sz w:val="20"/>
        <w:szCs w:val="20"/>
      </w:rPr>
    </w:lvl>
    <w:lvl w:ilvl="1" w:tplc="156E6612">
      <w:start w:val="1"/>
      <w:numFmt w:val="decimal"/>
      <w:lvlRestart w:val="0"/>
      <w:lvlText w:val="%2."/>
      <w:lvlJc w:val="left"/>
      <w:pPr>
        <w:tabs>
          <w:tab w:val="num" w:pos="-1080"/>
        </w:tabs>
        <w:ind w:left="-1080" w:hanging="360"/>
      </w:pPr>
      <w:rPr>
        <w:b/>
        <w:i w:val="0"/>
        <w:color w:val="03405B"/>
        <w:sz w:val="20"/>
        <w:szCs w:val="20"/>
      </w:rPr>
    </w:lvl>
    <w:lvl w:ilvl="2" w:tplc="104A444A">
      <w:start w:val="1"/>
      <w:numFmt w:val="bullet"/>
      <w:lvlText w:val=""/>
      <w:lvlJc w:val="left"/>
      <w:pPr>
        <w:tabs>
          <w:tab w:val="num" w:pos="-1080"/>
        </w:tabs>
        <w:ind w:left="-720" w:hanging="360"/>
      </w:pPr>
      <w:rPr>
        <w:rFonts w:ascii="Symbol" w:hAnsi="Symbol" w:hint="default"/>
        <w:b/>
        <w:i w:val="0"/>
        <w:color w:val="03405B"/>
        <w:sz w:val="20"/>
        <w:szCs w:val="2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9" w15:restartNumberingAfterBreak="0">
    <w:nsid w:val="4E5569B2"/>
    <w:multiLevelType w:val="hybridMultilevel"/>
    <w:tmpl w:val="6568B550"/>
    <w:lvl w:ilvl="0" w:tplc="E24C357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246F8"/>
    <w:multiLevelType w:val="singleLevel"/>
    <w:tmpl w:val="A5E0EFA8"/>
    <w:lvl w:ilvl="0">
      <w:start w:val="1"/>
      <w:numFmt w:val="bullet"/>
      <w:lvlText w:val=""/>
      <w:lvlJc w:val="left"/>
      <w:pPr>
        <w:tabs>
          <w:tab w:val="num" w:pos="360"/>
        </w:tabs>
        <w:ind w:left="720" w:hanging="360"/>
      </w:pPr>
      <w:rPr>
        <w:rFonts w:ascii="Symbol" w:hAnsi="Symbol" w:hint="default"/>
        <w:color w:val="03405B"/>
      </w:rPr>
    </w:lvl>
  </w:abstractNum>
  <w:abstractNum w:abstractNumId="11" w15:restartNumberingAfterBreak="0">
    <w:nsid w:val="5BEE77D4"/>
    <w:multiLevelType w:val="hybridMultilevel"/>
    <w:tmpl w:val="D57A2DEE"/>
    <w:lvl w:ilvl="0" w:tplc="1A6C2B0E">
      <w:start w:val="1"/>
      <w:numFmt w:val="bullet"/>
      <w:lvlText w:val=""/>
      <w:lvlJc w:val="left"/>
      <w:pPr>
        <w:tabs>
          <w:tab w:val="num" w:pos="-1080"/>
        </w:tabs>
        <w:ind w:left="-1008" w:hanging="432"/>
      </w:pPr>
      <w:rPr>
        <w:rFonts w:ascii="Symbol" w:hAnsi="Symbol" w:hint="default"/>
        <w:b/>
        <w:i w:val="0"/>
        <w:color w:val="03405B"/>
        <w:sz w:val="20"/>
        <w:szCs w:val="20"/>
      </w:rPr>
    </w:lvl>
    <w:lvl w:ilvl="1" w:tplc="60FC25E4">
      <w:start w:val="1"/>
      <w:numFmt w:val="decimal"/>
      <w:lvlRestart w:val="0"/>
      <w:pStyle w:val="Number"/>
      <w:lvlText w:val="%2."/>
      <w:lvlJc w:val="left"/>
      <w:pPr>
        <w:tabs>
          <w:tab w:val="num" w:pos="360"/>
        </w:tabs>
        <w:ind w:left="360" w:hanging="360"/>
      </w:pPr>
      <w:rPr>
        <w:rFonts w:hint="default"/>
        <w:b/>
        <w:i w:val="0"/>
        <w:color w:val="auto"/>
        <w:sz w:val="20"/>
        <w:szCs w:val="20"/>
      </w:rPr>
    </w:lvl>
    <w:lvl w:ilvl="2" w:tplc="104A444A">
      <w:start w:val="1"/>
      <w:numFmt w:val="bullet"/>
      <w:lvlText w:val=""/>
      <w:lvlJc w:val="left"/>
      <w:pPr>
        <w:tabs>
          <w:tab w:val="num" w:pos="-1080"/>
        </w:tabs>
        <w:ind w:left="-720" w:hanging="360"/>
      </w:pPr>
      <w:rPr>
        <w:rFonts w:ascii="Symbol" w:hAnsi="Symbol" w:hint="default"/>
        <w:b/>
        <w:i w:val="0"/>
        <w:color w:val="03405B"/>
        <w:sz w:val="20"/>
        <w:szCs w:val="2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2" w15:restartNumberingAfterBreak="0">
    <w:nsid w:val="5D931EEC"/>
    <w:multiLevelType w:val="hybridMultilevel"/>
    <w:tmpl w:val="F3A0DB88"/>
    <w:lvl w:ilvl="0" w:tplc="6EFC539A">
      <w:start w:val="1"/>
      <w:numFmt w:val="bullet"/>
      <w:pStyle w:val="Check"/>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EDB3EDE"/>
    <w:multiLevelType w:val="hybridMultilevel"/>
    <w:tmpl w:val="0D749C08"/>
    <w:lvl w:ilvl="0" w:tplc="563A687A">
      <w:start w:val="1"/>
      <w:numFmt w:val="bullet"/>
      <w:lvlText w:val=""/>
      <w:lvlJc w:val="left"/>
      <w:pPr>
        <w:tabs>
          <w:tab w:val="num" w:pos="1080"/>
        </w:tabs>
        <w:ind w:left="1080" w:hanging="360"/>
      </w:pPr>
      <w:rPr>
        <w:rFonts w:ascii="Wingdings" w:hAnsi="Wingdings" w:hint="default"/>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AB97CB0"/>
    <w:multiLevelType w:val="multilevel"/>
    <w:tmpl w:val="4CFA90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00D04E4"/>
    <w:multiLevelType w:val="hybridMultilevel"/>
    <w:tmpl w:val="93A2348E"/>
    <w:lvl w:ilvl="0" w:tplc="7530347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DEF1B4D"/>
    <w:multiLevelType w:val="hybridMultilevel"/>
    <w:tmpl w:val="FFD682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2"/>
  </w:num>
  <w:num w:numId="4">
    <w:abstractNumId w:val="14"/>
  </w:num>
  <w:num w:numId="5">
    <w:abstractNumId w:val="10"/>
  </w:num>
  <w:num w:numId="6">
    <w:abstractNumId w:val="2"/>
  </w:num>
  <w:num w:numId="7">
    <w:abstractNumId w:val="9"/>
  </w:num>
  <w:num w:numId="8">
    <w:abstractNumId w:val="11"/>
  </w:num>
  <w:num w:numId="9">
    <w:abstractNumId w:val="7"/>
  </w:num>
  <w:num w:numId="10">
    <w:abstractNumId w:val="6"/>
  </w:num>
  <w:num w:numId="11">
    <w:abstractNumId w:val="13"/>
  </w:num>
  <w:num w:numId="12">
    <w:abstractNumId w:val="4"/>
  </w:num>
  <w:num w:numId="13">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0"/>
  </w:num>
  <w:num w:numId="19">
    <w:abstractNumId w:val="3"/>
  </w:num>
  <w:num w:numId="20">
    <w:abstractNumId w:val="8"/>
  </w:num>
  <w:num w:numId="21">
    <w:abstractNumId w:val="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24"/>
    <w:rsid w:val="00034D24"/>
    <w:rsid w:val="00226BBC"/>
    <w:rsid w:val="002533C3"/>
    <w:rsid w:val="00367F49"/>
    <w:rsid w:val="004866D1"/>
    <w:rsid w:val="008919DF"/>
    <w:rsid w:val="00A82ED7"/>
    <w:rsid w:val="00B773D1"/>
    <w:rsid w:val="00C51FD3"/>
    <w:rsid w:val="00D058E4"/>
    <w:rsid w:val="00D64D1E"/>
    <w:rsid w:val="00E4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FC9BCC-E4B3-4354-A3E3-63E75676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 Body"/>
    <w:basedOn w:val="Normal"/>
    <w:pPr>
      <w:keepLines/>
      <w:widowControl w:val="0"/>
      <w:overflowPunct w:val="0"/>
      <w:autoSpaceDE w:val="0"/>
      <w:autoSpaceDN w:val="0"/>
      <w:adjustRightInd w:val="0"/>
      <w:spacing w:before="60" w:after="60"/>
    </w:pPr>
    <w:rPr>
      <w:color w:val="000000"/>
      <w:sz w:val="22"/>
      <w:szCs w:val="20"/>
    </w:rPr>
  </w:style>
  <w:style w:type="paragraph" w:styleId="Title">
    <w:name w:val="Title"/>
    <w:basedOn w:val="Normal"/>
    <w:qFormat/>
    <w:pPr>
      <w:jc w:val="center"/>
    </w:pPr>
    <w:rPr>
      <w:rFonts w:ascii="Arial" w:hAnsi="Arial" w:cs="Arial"/>
      <w:b/>
      <w:bCs/>
      <w:sz w:val="28"/>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pBdr>
        <w:top w:val="single" w:sz="4" w:space="1" w:color="auto"/>
      </w:pBdr>
      <w:tabs>
        <w:tab w:val="center" w:pos="4674"/>
        <w:tab w:val="right" w:pos="9348"/>
      </w:tabs>
      <w:spacing w:before="20" w:after="20"/>
    </w:pPr>
    <w:rPr>
      <w:rFonts w:ascii="Arial" w:hAnsi="Arial" w:cs="Arial"/>
      <w:b/>
      <w:bCs/>
      <w:i/>
      <w:iCs/>
      <w:spacing w:val="20"/>
      <w:sz w:val="18"/>
      <w:szCs w:val="12"/>
    </w:rPr>
  </w:style>
  <w:style w:type="paragraph" w:customStyle="1" w:styleId="Default">
    <w:name w:val="Default"/>
    <w:pPr>
      <w:autoSpaceDE w:val="0"/>
      <w:autoSpaceDN w:val="0"/>
      <w:adjustRightInd w:val="0"/>
    </w:pPr>
    <w:rPr>
      <w:rFonts w:ascii="TimesNewRoman,BoldItalic" w:hAnsi="TimesNewRoman,BoldItalic"/>
    </w:rPr>
  </w:style>
  <w:style w:type="paragraph" w:customStyle="1" w:styleId="Check">
    <w:name w:val="Check"/>
    <w:basedOn w:val="Normal"/>
    <w:pPr>
      <w:numPr>
        <w:numId w:val="3"/>
      </w:numPr>
      <w:spacing w:before="40" w:after="40"/>
    </w:pPr>
    <w:rPr>
      <w:rFonts w:cs="Tahoma"/>
      <w:szCs w:val="1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Tick">
    <w:name w:val="Tick"/>
    <w:basedOn w:val="BodyText"/>
    <w:next w:val="Normal"/>
    <w:pPr>
      <w:spacing w:after="0"/>
      <w:ind w:left="1080" w:hanging="360"/>
    </w:pPr>
    <w:rPr>
      <w:rFonts w:ascii="Arial" w:hAnsi="Arial"/>
      <w:color w:val="03405B"/>
      <w:sz w:val="22"/>
      <w:szCs w:val="22"/>
    </w:rPr>
  </w:style>
  <w:style w:type="paragraph" w:styleId="BodyText">
    <w:name w:val="Body Text"/>
    <w:basedOn w:val="Normal"/>
    <w:semiHidden/>
    <w:pPr>
      <w:spacing w:after="120"/>
    </w:pPr>
  </w:style>
  <w:style w:type="paragraph" w:customStyle="1" w:styleId="TableBody">
    <w:name w:val="Table Body"/>
    <w:basedOn w:val="Normal"/>
    <w:pPr>
      <w:spacing w:before="120" w:after="120"/>
    </w:pPr>
    <w:rPr>
      <w:rFonts w:ascii="Arial" w:hAnsi="Arial"/>
      <w:color w:val="03405B"/>
      <w:sz w:val="22"/>
      <w:szCs w:val="22"/>
    </w:rPr>
  </w:style>
  <w:style w:type="paragraph" w:customStyle="1" w:styleId="TextBullet">
    <w:name w:val="Text Bullet"/>
    <w:basedOn w:val="BodyText"/>
    <w:next w:val="Tick"/>
    <w:pPr>
      <w:numPr>
        <w:numId w:val="21"/>
      </w:numPr>
      <w:spacing w:after="80"/>
    </w:pPr>
    <w:rPr>
      <w:rFonts w:ascii="Arial" w:hAnsi="Arial"/>
      <w:color w:val="03405B"/>
      <w:sz w:val="22"/>
      <w:szCs w:val="20"/>
    </w:rPr>
  </w:style>
  <w:style w:type="paragraph" w:customStyle="1" w:styleId="Number">
    <w:name w:val="Number"/>
    <w:basedOn w:val="BodyText"/>
    <w:next w:val="BodyText"/>
    <w:autoRedefine/>
    <w:pPr>
      <w:numPr>
        <w:ilvl w:val="1"/>
        <w:numId w:val="8"/>
      </w:numPr>
      <w:spacing w:before="120"/>
    </w:pPr>
    <w:rPr>
      <w:rFonts w:ascii="Arial" w:hAnsi="Arial"/>
      <w:b/>
      <w:szCs w:val="22"/>
    </w:rPr>
  </w:style>
  <w:style w:type="paragraph" w:styleId="BodyTextIndent">
    <w:name w:val="Body Text Indent"/>
    <w:basedOn w:val="Normal"/>
    <w:link w:val="BodyTextIndentChar"/>
    <w:semiHidden/>
    <w:pPr>
      <w:spacing w:before="60" w:after="60"/>
    </w:pPr>
    <w:rPr>
      <w:rFonts w:ascii="Book Antiqua" w:hAnsi="Book Antiqua"/>
      <w:sz w:val="22"/>
      <w:szCs w:val="22"/>
    </w:rPr>
  </w:style>
  <w:style w:type="character" w:styleId="Hyperlink">
    <w:name w:val="Hyperlink"/>
    <w:semiHidden/>
    <w:rPr>
      <w:color w:val="0000FF"/>
      <w:u w:val="single"/>
    </w:rPr>
  </w:style>
  <w:style w:type="paragraph" w:styleId="BodyTextIndent2">
    <w:name w:val="Body Text Indent 2"/>
    <w:basedOn w:val="Normal"/>
    <w:semiHidden/>
    <w:pPr>
      <w:spacing w:before="120" w:after="120"/>
      <w:ind w:left="360"/>
    </w:pPr>
    <w:rPr>
      <w:rFonts w:ascii="Book Antiqua" w:hAnsi="Book Antiqua"/>
      <w:sz w:val="22"/>
      <w:szCs w:val="22"/>
    </w:rPr>
  </w:style>
  <w:style w:type="character" w:customStyle="1" w:styleId="BodyTextIndentChar">
    <w:name w:val="Body Text Indent Char"/>
    <w:link w:val="BodyTextIndent"/>
    <w:semiHidden/>
    <w:rsid w:val="00034D24"/>
    <w:rPr>
      <w:rFonts w:ascii="Book Antiqua" w:hAnsi="Book Antiqua"/>
      <w:sz w:val="22"/>
      <w:szCs w:val="22"/>
    </w:rPr>
  </w:style>
  <w:style w:type="character" w:styleId="FollowedHyperlink">
    <w:name w:val="FollowedHyperlink"/>
    <w:basedOn w:val="DefaultParagraphFont"/>
    <w:uiPriority w:val="99"/>
    <w:semiHidden/>
    <w:unhideWhenUsed/>
    <w:rsid w:val="00486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Project Management Transition and Closure Plan</vt:lpstr>
    </vt:vector>
  </TitlesOfParts>
  <Company>WSDOT</Company>
  <LinksUpToDate>false</LinksUpToDate>
  <CharactersWithSpaces>2979</CharactersWithSpaces>
  <SharedDoc>false</SharedDoc>
  <HLinks>
    <vt:vector size="6" baseType="variant">
      <vt:variant>
        <vt:i4>65618</vt:i4>
      </vt:variant>
      <vt:variant>
        <vt:i4>0</vt:i4>
      </vt:variant>
      <vt:variant>
        <vt:i4>0</vt:i4>
      </vt:variant>
      <vt:variant>
        <vt:i4>5</vt:i4>
      </vt:variant>
      <vt:variant>
        <vt:lpwstr>http://www.wsdot.wa.gov/Projects/delivery/LessonsLearned/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Transition and Closure Plan</dc:title>
  <dc:subject>WSDOT Project Management Transition and Closure Plan</dc:subject>
  <dc:creator>WSDOT</dc:creator>
  <cp:keywords/>
  <dc:description/>
  <cp:lastModifiedBy>Williams, Stephanie</cp:lastModifiedBy>
  <cp:revision>5</cp:revision>
  <cp:lastPrinted>2005-06-30T16:13:00Z</cp:lastPrinted>
  <dcterms:created xsi:type="dcterms:W3CDTF">2019-05-03T18:11:00Z</dcterms:created>
  <dcterms:modified xsi:type="dcterms:W3CDTF">2019-07-09T16:14:00Z</dcterms:modified>
</cp:coreProperties>
</file>