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A2DB9" w14:textId="77777777" w:rsidR="00747F83" w:rsidRPr="001374C4" w:rsidRDefault="00747F83" w:rsidP="00747F83">
      <w:pPr>
        <w:spacing w:line="260" w:lineRule="atLeast"/>
        <w:rPr>
          <w:rFonts w:ascii="Arial" w:hAnsi="Arial" w:cs="Arial"/>
          <w:sz w:val="20"/>
          <w:szCs w:val="20"/>
        </w:rPr>
      </w:pPr>
    </w:p>
    <w:p w14:paraId="1B08E12F" w14:textId="77777777" w:rsidR="00747F83" w:rsidRPr="001374C4" w:rsidRDefault="00747F83" w:rsidP="00747F83">
      <w:pPr>
        <w:spacing w:line="260" w:lineRule="atLeast"/>
        <w:rPr>
          <w:rFonts w:ascii="Arial" w:hAnsi="Arial" w:cs="Arial"/>
          <w:sz w:val="20"/>
          <w:szCs w:val="20"/>
        </w:rPr>
      </w:pPr>
    </w:p>
    <w:p w14:paraId="3EB38CC9" w14:textId="77777777" w:rsidR="00747F83" w:rsidRPr="001374C4" w:rsidRDefault="00747F83" w:rsidP="00747F83">
      <w:pPr>
        <w:spacing w:line="260" w:lineRule="atLeast"/>
        <w:rPr>
          <w:rFonts w:ascii="Arial" w:hAnsi="Arial" w:cs="Arial"/>
          <w:sz w:val="20"/>
          <w:szCs w:val="20"/>
        </w:rPr>
      </w:pPr>
    </w:p>
    <w:p w14:paraId="156DCA70" w14:textId="77777777" w:rsidR="00747F83" w:rsidRPr="001374C4" w:rsidRDefault="00747F83" w:rsidP="00747F83">
      <w:pPr>
        <w:spacing w:line="260" w:lineRule="atLeast"/>
        <w:rPr>
          <w:rFonts w:ascii="Arial" w:hAnsi="Arial" w:cs="Arial"/>
          <w:sz w:val="20"/>
          <w:szCs w:val="20"/>
        </w:rPr>
      </w:pPr>
    </w:p>
    <w:p w14:paraId="2FFBDBFE" w14:textId="77777777" w:rsidR="00747F83" w:rsidRPr="001374C4" w:rsidRDefault="00747F83" w:rsidP="00747F83">
      <w:pPr>
        <w:spacing w:line="260" w:lineRule="atLeast"/>
        <w:rPr>
          <w:rFonts w:ascii="Arial" w:hAnsi="Arial" w:cs="Arial"/>
          <w:sz w:val="20"/>
          <w:szCs w:val="20"/>
        </w:rPr>
      </w:pPr>
    </w:p>
    <w:p w14:paraId="6C3366AD" w14:textId="77777777" w:rsidR="001374C4" w:rsidRPr="00501B06" w:rsidRDefault="001374C4" w:rsidP="001374C4">
      <w:pPr>
        <w:pStyle w:val="Default"/>
        <w:rPr>
          <w:rFonts w:ascii="Arial Narrow" w:hAnsi="Arial Narrow"/>
        </w:rPr>
      </w:pPr>
    </w:p>
    <w:p w14:paraId="0AF6FF06" w14:textId="77777777" w:rsidR="001374C4" w:rsidRPr="00501B06" w:rsidRDefault="001374C4" w:rsidP="001374C4">
      <w:pPr>
        <w:pStyle w:val="Default"/>
        <w:rPr>
          <w:rFonts w:ascii="Arial Narrow" w:hAnsi="Arial Narrow" w:cs="Times New Roman"/>
          <w:color w:val="auto"/>
        </w:rPr>
      </w:pPr>
    </w:p>
    <w:p w14:paraId="40A24C8A" w14:textId="77777777" w:rsidR="001374C4" w:rsidRPr="00501B06" w:rsidRDefault="001374C4" w:rsidP="001374C4">
      <w:pPr>
        <w:pStyle w:val="Pa0"/>
        <w:rPr>
          <w:rFonts w:ascii="Arial Narrow" w:hAnsi="Arial Narrow" w:cs="Arial"/>
          <w:color w:val="221E1F"/>
          <w:sz w:val="56"/>
          <w:szCs w:val="56"/>
        </w:rPr>
      </w:pPr>
      <w:r w:rsidRPr="00501B06">
        <w:rPr>
          <w:rStyle w:val="A0"/>
          <w:rFonts w:ascii="Arial Narrow" w:hAnsi="Arial Narrow" w:cs="Arial"/>
          <w:sz w:val="56"/>
          <w:szCs w:val="56"/>
        </w:rPr>
        <w:t xml:space="preserve">Personal Property Only </w:t>
      </w:r>
    </w:p>
    <w:p w14:paraId="2D5F2F4A" w14:textId="77777777" w:rsidR="001374C4" w:rsidRPr="00501B06" w:rsidRDefault="001374C4" w:rsidP="001374C4">
      <w:pPr>
        <w:pStyle w:val="Pa0"/>
        <w:rPr>
          <w:rStyle w:val="A0"/>
          <w:rFonts w:ascii="Arial Narrow" w:hAnsi="Arial Narrow" w:cs="Arial"/>
        </w:rPr>
      </w:pPr>
    </w:p>
    <w:p w14:paraId="37A5E59A" w14:textId="77777777" w:rsidR="001374C4" w:rsidRPr="00501B06" w:rsidRDefault="001374C4" w:rsidP="001374C4">
      <w:pPr>
        <w:pStyle w:val="Pa0"/>
        <w:rPr>
          <w:rFonts w:ascii="Arial Narrow" w:hAnsi="Arial Narrow" w:cs="Arial"/>
          <w:color w:val="221E1F"/>
          <w:sz w:val="42"/>
          <w:szCs w:val="42"/>
        </w:rPr>
      </w:pPr>
      <w:r w:rsidRPr="00501B06">
        <w:rPr>
          <w:rStyle w:val="A0"/>
          <w:rFonts w:ascii="Arial Narrow" w:hAnsi="Arial Narrow" w:cs="Arial"/>
        </w:rPr>
        <w:t xml:space="preserve">Relocation </w:t>
      </w:r>
    </w:p>
    <w:p w14:paraId="726615DD" w14:textId="77777777" w:rsidR="001374C4" w:rsidRPr="00501B06" w:rsidRDefault="001374C4" w:rsidP="001374C4">
      <w:pPr>
        <w:spacing w:line="260" w:lineRule="atLeast"/>
        <w:rPr>
          <w:rStyle w:val="A0"/>
          <w:rFonts w:ascii="Arial Narrow" w:hAnsi="Arial Narrow" w:cs="Arial"/>
        </w:rPr>
      </w:pPr>
      <w:r w:rsidRPr="00501B06">
        <w:rPr>
          <w:rStyle w:val="A0"/>
          <w:rFonts w:ascii="Arial Narrow" w:hAnsi="Arial Narrow" w:cs="Arial"/>
        </w:rPr>
        <w:t xml:space="preserve">Assistance </w:t>
      </w:r>
    </w:p>
    <w:p w14:paraId="5161C615" w14:textId="77777777" w:rsidR="00747F83" w:rsidRPr="00501B06" w:rsidRDefault="001374C4" w:rsidP="001374C4">
      <w:pPr>
        <w:spacing w:line="260" w:lineRule="atLeast"/>
        <w:rPr>
          <w:rFonts w:ascii="Arial Narrow" w:hAnsi="Arial Narrow" w:cs="Arial"/>
          <w:sz w:val="20"/>
          <w:szCs w:val="20"/>
        </w:rPr>
      </w:pPr>
      <w:r w:rsidRPr="00501B06">
        <w:rPr>
          <w:rStyle w:val="A0"/>
          <w:rFonts w:ascii="Arial Narrow" w:hAnsi="Arial Narrow" w:cs="Arial"/>
        </w:rPr>
        <w:t>Program</w:t>
      </w:r>
    </w:p>
    <w:p w14:paraId="2EF8E4C7" w14:textId="77777777" w:rsidR="00747F83" w:rsidRPr="001374C4" w:rsidRDefault="00747F83" w:rsidP="00747F83">
      <w:pPr>
        <w:spacing w:line="260" w:lineRule="atLeast"/>
        <w:rPr>
          <w:rFonts w:ascii="Arial" w:hAnsi="Arial" w:cs="Arial"/>
          <w:sz w:val="20"/>
          <w:szCs w:val="20"/>
        </w:rPr>
      </w:pPr>
    </w:p>
    <w:p w14:paraId="1D6D7545" w14:textId="77777777" w:rsidR="00747F83" w:rsidRPr="001374C4" w:rsidRDefault="00747F83" w:rsidP="00747F83">
      <w:pPr>
        <w:spacing w:line="260" w:lineRule="atLeast"/>
        <w:rPr>
          <w:rFonts w:ascii="Arial" w:hAnsi="Arial" w:cs="Arial"/>
        </w:rPr>
      </w:pPr>
    </w:p>
    <w:p w14:paraId="4B37DEDD" w14:textId="77777777" w:rsidR="00747F83" w:rsidRPr="00085527" w:rsidRDefault="00747F83">
      <w:pPr>
        <w:rPr>
          <w:rFonts w:ascii="Arial Narrow" w:hAnsi="Arial Narrow" w:cs="Arial"/>
        </w:rPr>
        <w:sectPr w:rsidR="00747F83" w:rsidRPr="00085527" w:rsidSect="00085527">
          <w:footerReference w:type="default" r:id="rId10"/>
          <w:headerReference w:type="first" r:id="rId11"/>
          <w:footerReference w:type="first" r:id="rId12"/>
          <w:pgSz w:w="12240" w:h="15840"/>
          <w:pgMar w:top="1440" w:right="1800" w:bottom="1440" w:left="1800" w:header="720" w:footer="720" w:gutter="0"/>
          <w:cols w:space="720"/>
          <w:titlePg/>
          <w:docGrid w:linePitch="326"/>
        </w:sectPr>
      </w:pPr>
    </w:p>
    <w:p w14:paraId="396D9BF4" w14:textId="77777777" w:rsidR="00747F83" w:rsidRPr="00085527" w:rsidRDefault="00747F83" w:rsidP="00747F83">
      <w:pPr>
        <w:rPr>
          <w:rFonts w:ascii="Arial Narrow" w:hAnsi="Arial Narrow" w:cs="Arial"/>
          <w:b/>
          <w:sz w:val="28"/>
          <w:szCs w:val="28"/>
        </w:rPr>
      </w:pPr>
      <w:r w:rsidRPr="00085527">
        <w:rPr>
          <w:rFonts w:ascii="Arial Narrow" w:hAnsi="Arial Narrow" w:cs="Arial"/>
          <w:b/>
          <w:sz w:val="28"/>
          <w:szCs w:val="28"/>
        </w:rPr>
        <w:lastRenderedPageBreak/>
        <w:t>Introduction</w:t>
      </w:r>
    </w:p>
    <w:p w14:paraId="3D04A70C" w14:textId="77777777" w:rsidR="00400124" w:rsidRPr="00085527" w:rsidRDefault="00400124" w:rsidP="00747F83">
      <w:pPr>
        <w:rPr>
          <w:rFonts w:ascii="Arial Narrow" w:hAnsi="Arial Narrow" w:cs="Arial"/>
        </w:rPr>
      </w:pPr>
    </w:p>
    <w:p w14:paraId="7689552B" w14:textId="77777777" w:rsidR="00747F83" w:rsidRPr="00085527" w:rsidRDefault="00747F83" w:rsidP="00747F83">
      <w:pPr>
        <w:rPr>
          <w:rFonts w:ascii="Arial Narrow" w:hAnsi="Arial Narrow" w:cs="Arial"/>
        </w:rPr>
      </w:pPr>
      <w:r w:rsidRPr="00085527">
        <w:rPr>
          <w:rFonts w:ascii="Arial Narrow" w:hAnsi="Arial Narrow" w:cs="Arial"/>
        </w:rPr>
        <w:t>The Relocation Assistance Program is designed to establish a uniform policy to help minimize any hardships you may experience as a result of your move. The Uniform Act provides for certain relocation payments and advisory assistance for displaced persons.</w:t>
      </w:r>
    </w:p>
    <w:p w14:paraId="0D953C59" w14:textId="77777777" w:rsidR="00400124" w:rsidRPr="00085527" w:rsidRDefault="00400124" w:rsidP="00747F83">
      <w:pPr>
        <w:rPr>
          <w:rFonts w:ascii="Arial Narrow" w:hAnsi="Arial Narrow" w:cs="Arial"/>
        </w:rPr>
      </w:pPr>
    </w:p>
    <w:p w14:paraId="3138E133" w14:textId="77777777" w:rsidR="00747F83" w:rsidRPr="00085527" w:rsidRDefault="00747F83" w:rsidP="00747F83">
      <w:pPr>
        <w:rPr>
          <w:rFonts w:ascii="Arial Narrow" w:hAnsi="Arial Narrow" w:cs="Arial"/>
        </w:rPr>
      </w:pPr>
      <w:r w:rsidRPr="00085527">
        <w:rPr>
          <w:rFonts w:ascii="Arial Narrow" w:hAnsi="Arial Narrow" w:cs="Arial"/>
        </w:rPr>
        <w:t>Federal law requires certification of residency status. You will be required to sign a form certifying you are lawfully present in the United States before the relocation process can begin. Any person who is an alien not lawfully present in the United States is ineligible for relocation advisory services and relocation payments.</w:t>
      </w:r>
    </w:p>
    <w:p w14:paraId="6E242436" w14:textId="77777777" w:rsidR="00400124" w:rsidRPr="00085527" w:rsidRDefault="00400124" w:rsidP="00747F83">
      <w:pPr>
        <w:rPr>
          <w:rFonts w:ascii="Arial Narrow" w:hAnsi="Arial Narrow" w:cs="Arial"/>
        </w:rPr>
      </w:pPr>
    </w:p>
    <w:p w14:paraId="7B8E1EC7" w14:textId="4A3E1AD6" w:rsidR="00747F83" w:rsidRPr="00085527" w:rsidRDefault="00747F83" w:rsidP="00747F83">
      <w:pPr>
        <w:rPr>
          <w:rFonts w:ascii="Arial Narrow" w:hAnsi="Arial Narrow" w:cs="Arial"/>
        </w:rPr>
      </w:pPr>
      <w:r w:rsidRPr="00085527">
        <w:rPr>
          <w:rFonts w:ascii="Arial Narrow" w:hAnsi="Arial Narrow" w:cs="Arial"/>
        </w:rPr>
        <w:t>This brochure is designed to answer some of your questions about your relocation entitlements. Specific information about relocation assistance is contained in the law. While every effort has been made to assure the accurac</w:t>
      </w:r>
      <w:r w:rsidR="00400124" w:rsidRPr="00085527">
        <w:rPr>
          <w:rFonts w:ascii="Arial Narrow" w:hAnsi="Arial Narrow" w:cs="Arial"/>
        </w:rPr>
        <w:t xml:space="preserve">y of this brochure, it does not </w:t>
      </w:r>
      <w:r w:rsidRPr="00085527">
        <w:rPr>
          <w:rFonts w:ascii="Arial Narrow" w:hAnsi="Arial Narrow" w:cs="Arial"/>
        </w:rPr>
        <w:t>have the force and effect of the law. Should any difference or </w:t>
      </w:r>
      <w:r w:rsidR="00400124" w:rsidRPr="00085527">
        <w:rPr>
          <w:rFonts w:ascii="Arial Narrow" w:hAnsi="Arial Narrow" w:cs="Arial"/>
        </w:rPr>
        <w:t xml:space="preserve">error occur the law will </w:t>
      </w:r>
      <w:r w:rsidRPr="00085527">
        <w:rPr>
          <w:rFonts w:ascii="Arial Narrow" w:hAnsi="Arial Narrow" w:cs="Arial"/>
        </w:rPr>
        <w:t>take precedence. The law is contained in Chapter 8.26 of the Revised Code of Washington (RCW) and the Washington Administrative Code (WAC) 468.100.</w:t>
      </w:r>
    </w:p>
    <w:p w14:paraId="163FBF8B" w14:textId="77777777" w:rsidR="00400124" w:rsidRPr="00085527" w:rsidRDefault="00400124" w:rsidP="00747F83">
      <w:pPr>
        <w:rPr>
          <w:rFonts w:ascii="Arial Narrow" w:hAnsi="Arial Narrow" w:cs="Arial"/>
        </w:rPr>
      </w:pPr>
    </w:p>
    <w:p w14:paraId="26A3E5BB" w14:textId="26B62474" w:rsidR="00747F83" w:rsidRPr="00085527" w:rsidRDefault="00747F83" w:rsidP="00747F83">
      <w:pPr>
        <w:rPr>
          <w:rFonts w:ascii="Arial Narrow" w:hAnsi="Arial Narrow" w:cs="Arial"/>
        </w:rPr>
      </w:pPr>
      <w:r w:rsidRPr="00085527">
        <w:rPr>
          <w:rFonts w:ascii="Arial Narrow" w:hAnsi="Arial Narrow" w:cs="Arial"/>
        </w:rPr>
        <w:t>Your</w:t>
      </w:r>
      <w:r w:rsidR="006A3D26" w:rsidRPr="00085527">
        <w:rPr>
          <w:rFonts w:ascii="Arial Narrow" w:hAnsi="Arial Narrow" w:cs="Arial"/>
        </w:rPr>
        <w:t xml:space="preserve"> concerns are important to us; w</w:t>
      </w:r>
      <w:r w:rsidRPr="00085527">
        <w:rPr>
          <w:rFonts w:ascii="Arial Narrow" w:hAnsi="Arial Narrow" w:cs="Arial"/>
        </w:rPr>
        <w:t>e will do everything we can to minimize any disruptions and other impacts of the project. Thank you for taking the time to read this brochure. We appreciate your understanding and cooperation.</w:t>
      </w:r>
    </w:p>
    <w:p w14:paraId="78B0ED2E" w14:textId="77777777" w:rsidR="00747F83" w:rsidRPr="000E7836" w:rsidRDefault="00747F83" w:rsidP="00747F83">
      <w:pPr>
        <w:rPr>
          <w:rFonts w:ascii="Arial Narrow" w:hAnsi="Arial Narrow" w:cs="Arial"/>
          <w:sz w:val="20"/>
          <w:szCs w:val="20"/>
        </w:rPr>
      </w:pPr>
    </w:p>
    <w:p w14:paraId="3687EB08" w14:textId="77777777" w:rsidR="00BF0B06" w:rsidRPr="000E7836" w:rsidRDefault="00BF0B06" w:rsidP="00747F83">
      <w:pPr>
        <w:rPr>
          <w:rFonts w:ascii="Arial Narrow" w:hAnsi="Arial Narrow" w:cs="Arial"/>
          <w:b/>
          <w:sz w:val="20"/>
          <w:szCs w:val="20"/>
        </w:rPr>
      </w:pPr>
    </w:p>
    <w:p w14:paraId="17506C59" w14:textId="77777777" w:rsidR="00747F83" w:rsidRPr="00644D76" w:rsidRDefault="00747F83" w:rsidP="00747F83">
      <w:pPr>
        <w:rPr>
          <w:rFonts w:ascii="Arial Narrow" w:hAnsi="Arial Narrow" w:cs="Arial"/>
          <w:b/>
          <w:sz w:val="28"/>
          <w:szCs w:val="28"/>
        </w:rPr>
      </w:pPr>
      <w:r w:rsidRPr="00644D76">
        <w:rPr>
          <w:rFonts w:ascii="Arial Narrow" w:hAnsi="Arial Narrow" w:cs="Arial"/>
          <w:b/>
          <w:sz w:val="28"/>
          <w:szCs w:val="28"/>
        </w:rPr>
        <w:t>Definition</w:t>
      </w:r>
    </w:p>
    <w:p w14:paraId="03594F07" w14:textId="77777777" w:rsidR="00400124" w:rsidRPr="000E7836" w:rsidRDefault="00400124" w:rsidP="00747F83">
      <w:pPr>
        <w:rPr>
          <w:rFonts w:ascii="Arial Narrow" w:hAnsi="Arial Narrow" w:cs="Arial"/>
          <w:sz w:val="20"/>
          <w:szCs w:val="20"/>
        </w:rPr>
      </w:pPr>
    </w:p>
    <w:p w14:paraId="143977F8" w14:textId="77777777" w:rsidR="00747F83" w:rsidRPr="00085527" w:rsidRDefault="00747F83" w:rsidP="00747F83">
      <w:pPr>
        <w:rPr>
          <w:rFonts w:ascii="Arial Narrow" w:hAnsi="Arial Narrow" w:cs="Arial"/>
        </w:rPr>
      </w:pPr>
      <w:r w:rsidRPr="00085527">
        <w:rPr>
          <w:rFonts w:ascii="Arial Narrow" w:hAnsi="Arial Narrow" w:cs="Arial"/>
        </w:rPr>
        <w:t>A Personal Property Only (PPO) relocation is defined as a move of personal property from property acquired for right of way or project purposes where there is not a need for a full relocation of a residence, non-residential operation (vacant land), business operation, farm operation, or nonprofit organization (NPO) from the acquired property.</w:t>
      </w:r>
    </w:p>
    <w:p w14:paraId="7BBC0FF3" w14:textId="77777777" w:rsidR="00747F83" w:rsidRPr="000E7836" w:rsidRDefault="00747F83" w:rsidP="00747F83">
      <w:pPr>
        <w:rPr>
          <w:rFonts w:ascii="Arial Narrow" w:hAnsi="Arial Narrow" w:cs="Arial"/>
          <w:sz w:val="20"/>
          <w:szCs w:val="20"/>
        </w:rPr>
      </w:pPr>
    </w:p>
    <w:p w14:paraId="78BCD995" w14:textId="77777777" w:rsidR="00BF0B06" w:rsidRPr="000E7836" w:rsidRDefault="00BF0B06" w:rsidP="00747F83">
      <w:pPr>
        <w:rPr>
          <w:rFonts w:ascii="Arial Narrow" w:hAnsi="Arial Narrow" w:cs="Arial"/>
          <w:b/>
          <w:sz w:val="20"/>
          <w:szCs w:val="20"/>
        </w:rPr>
      </w:pPr>
    </w:p>
    <w:p w14:paraId="7FF41027" w14:textId="77777777" w:rsidR="00747F83" w:rsidRPr="00644D76" w:rsidRDefault="00747F83" w:rsidP="00747F83">
      <w:pPr>
        <w:rPr>
          <w:rFonts w:ascii="Arial Narrow" w:hAnsi="Arial Narrow" w:cs="Arial"/>
          <w:b/>
          <w:sz w:val="28"/>
          <w:szCs w:val="28"/>
        </w:rPr>
      </w:pPr>
      <w:r w:rsidRPr="00644D76">
        <w:rPr>
          <w:rFonts w:ascii="Arial Narrow" w:hAnsi="Arial Narrow" w:cs="Arial"/>
          <w:b/>
          <w:sz w:val="28"/>
          <w:szCs w:val="28"/>
        </w:rPr>
        <w:t>Types of Personal Property Only Relocations</w:t>
      </w:r>
    </w:p>
    <w:p w14:paraId="511C9F14" w14:textId="77777777" w:rsidR="00400124" w:rsidRPr="000E7836" w:rsidRDefault="00400124" w:rsidP="000E7836">
      <w:pPr>
        <w:pStyle w:val="ListParagraph"/>
        <w:spacing w:line="360" w:lineRule="auto"/>
        <w:ind w:left="0"/>
        <w:rPr>
          <w:rFonts w:ascii="Arial Narrow" w:hAnsi="Arial Narrow" w:cs="Arial"/>
          <w:sz w:val="20"/>
          <w:szCs w:val="20"/>
        </w:rPr>
      </w:pPr>
    </w:p>
    <w:p w14:paraId="520FA64B" w14:textId="77777777" w:rsidR="00747F83" w:rsidRPr="00085527" w:rsidRDefault="00747F83" w:rsidP="000E7836">
      <w:pPr>
        <w:pStyle w:val="ListParagraph"/>
        <w:numPr>
          <w:ilvl w:val="0"/>
          <w:numId w:val="1"/>
        </w:numPr>
        <w:rPr>
          <w:rFonts w:ascii="Arial Narrow" w:hAnsi="Arial Narrow" w:cs="Arial"/>
        </w:rPr>
      </w:pPr>
      <w:r w:rsidRPr="00085527">
        <w:rPr>
          <w:rFonts w:ascii="Arial Narrow" w:hAnsi="Arial Narrow" w:cs="Arial"/>
        </w:rPr>
        <w:t>Personal property is stored on property where there is no residence or business.</w:t>
      </w:r>
    </w:p>
    <w:p w14:paraId="3D6B77E5" w14:textId="4B986393" w:rsidR="00747F83" w:rsidRPr="00085527" w:rsidRDefault="00747F83" w:rsidP="000E7836">
      <w:pPr>
        <w:pStyle w:val="ListParagraph"/>
        <w:numPr>
          <w:ilvl w:val="0"/>
          <w:numId w:val="1"/>
        </w:numPr>
        <w:rPr>
          <w:rFonts w:ascii="Arial Narrow" w:hAnsi="Arial Narrow" w:cs="Arial"/>
        </w:rPr>
      </w:pPr>
      <w:r w:rsidRPr="00085527">
        <w:rPr>
          <w:rFonts w:ascii="Arial Narrow" w:hAnsi="Arial Narrow" w:cs="Arial"/>
        </w:rPr>
        <w:t>Personal property is located on a portion of property that is being acquired but where the residence located on the property will not</w:t>
      </w:r>
      <w:r w:rsidR="003D3497" w:rsidRPr="00085527">
        <w:rPr>
          <w:rFonts w:ascii="Arial Narrow" w:hAnsi="Arial Narrow" w:cs="Arial"/>
        </w:rPr>
        <w:t xml:space="preserve"> </w:t>
      </w:r>
      <w:r w:rsidRPr="00085527">
        <w:rPr>
          <w:rFonts w:ascii="Arial Narrow" w:hAnsi="Arial Narrow" w:cs="Arial"/>
        </w:rPr>
        <w:t>be affected.</w:t>
      </w:r>
    </w:p>
    <w:p w14:paraId="5EE34E34" w14:textId="77777777" w:rsidR="00747F83" w:rsidRPr="00085527" w:rsidRDefault="00747F83" w:rsidP="000E7836">
      <w:pPr>
        <w:pStyle w:val="ListParagraph"/>
        <w:numPr>
          <w:ilvl w:val="0"/>
          <w:numId w:val="1"/>
        </w:numPr>
        <w:rPr>
          <w:rFonts w:ascii="Arial Narrow" w:hAnsi="Arial Narrow" w:cs="Arial"/>
        </w:rPr>
      </w:pPr>
      <w:r w:rsidRPr="00085527">
        <w:rPr>
          <w:rFonts w:ascii="Arial Narrow" w:hAnsi="Arial Narrow" w:cs="Arial"/>
        </w:rPr>
        <w:t>Personal property is located on a portion of property that is being acquired but where the business located on the property can still operate after the acquisition of the needed property and where</w:t>
      </w:r>
      <w:r w:rsidR="00400124" w:rsidRPr="00085527">
        <w:rPr>
          <w:rFonts w:ascii="Arial Narrow" w:hAnsi="Arial Narrow" w:cs="Arial"/>
        </w:rPr>
        <w:t xml:space="preserve"> the business will not incur re</w:t>
      </w:r>
      <w:r w:rsidRPr="00085527">
        <w:rPr>
          <w:rFonts w:ascii="Arial Narrow" w:hAnsi="Arial Narrow" w:cs="Arial"/>
        </w:rPr>
        <w:t>establishment expenses.</w:t>
      </w:r>
    </w:p>
    <w:p w14:paraId="513BFBB4" w14:textId="77777777" w:rsidR="00747F83" w:rsidRPr="00085527" w:rsidRDefault="00747F83" w:rsidP="000E7836">
      <w:pPr>
        <w:pStyle w:val="ListParagraph"/>
        <w:numPr>
          <w:ilvl w:val="0"/>
          <w:numId w:val="1"/>
        </w:numPr>
        <w:rPr>
          <w:rFonts w:ascii="Arial Narrow" w:hAnsi="Arial Narrow" w:cs="Arial"/>
        </w:rPr>
      </w:pPr>
      <w:r w:rsidRPr="00085527">
        <w:rPr>
          <w:rFonts w:ascii="Arial Narrow" w:hAnsi="Arial Narrow" w:cs="Arial"/>
        </w:rPr>
        <w:t>Personal property is located in a unit (or units) in a storage facility that will be acquired in whole or in part.</w:t>
      </w:r>
    </w:p>
    <w:p w14:paraId="053407EE" w14:textId="77777777" w:rsidR="00747F83" w:rsidRPr="00085527" w:rsidRDefault="00747F83" w:rsidP="000E7836">
      <w:pPr>
        <w:pStyle w:val="ListParagraph"/>
        <w:numPr>
          <w:ilvl w:val="0"/>
          <w:numId w:val="1"/>
        </w:numPr>
        <w:rPr>
          <w:rFonts w:ascii="Arial Narrow" w:hAnsi="Arial Narrow" w:cs="Arial"/>
        </w:rPr>
      </w:pPr>
      <w:r w:rsidRPr="00085527">
        <w:rPr>
          <w:rFonts w:ascii="Arial Narrow" w:hAnsi="Arial Narrow" w:cs="Arial"/>
        </w:rPr>
        <w:t>Vehicles, trucks, recreational vehicles, boats, and other miscellaneous trailers, either operational or not, that ar</w:t>
      </w:r>
      <w:r w:rsidR="00400124" w:rsidRPr="00085527">
        <w:rPr>
          <w:rFonts w:ascii="Arial Narrow" w:hAnsi="Arial Narrow" w:cs="Arial"/>
        </w:rPr>
        <w:t xml:space="preserve">e located on property </w:t>
      </w:r>
      <w:r w:rsidRPr="00085527">
        <w:rPr>
          <w:rFonts w:ascii="Arial Narrow" w:hAnsi="Arial Narrow" w:cs="Arial"/>
        </w:rPr>
        <w:t>that will be acquired.</w:t>
      </w:r>
    </w:p>
    <w:p w14:paraId="27382E2A" w14:textId="0B106883" w:rsidR="00BF0B06" w:rsidRPr="00644D76" w:rsidRDefault="00747F83" w:rsidP="000E7836">
      <w:pPr>
        <w:pStyle w:val="ListParagraph"/>
        <w:numPr>
          <w:ilvl w:val="0"/>
          <w:numId w:val="1"/>
        </w:numPr>
        <w:rPr>
          <w:rFonts w:ascii="Arial Narrow" w:hAnsi="Arial Narrow" w:cs="Arial"/>
        </w:rPr>
      </w:pPr>
      <w:r w:rsidRPr="00085527">
        <w:rPr>
          <w:rFonts w:ascii="Arial Narrow" w:hAnsi="Arial Narrow" w:cs="Arial"/>
        </w:rPr>
        <w:t>Minimal personal property is located in a rented mailbox in a commercial mailbox business that is being acquired in </w:t>
      </w:r>
      <w:r w:rsidR="00400124" w:rsidRPr="00085527">
        <w:rPr>
          <w:rFonts w:ascii="Arial Narrow" w:hAnsi="Arial Narrow" w:cs="Arial"/>
        </w:rPr>
        <w:t xml:space="preserve">whole or in </w:t>
      </w:r>
      <w:r w:rsidRPr="00085527">
        <w:rPr>
          <w:rFonts w:ascii="Arial Narrow" w:hAnsi="Arial Narrow" w:cs="Arial"/>
        </w:rPr>
        <w:t>part.</w:t>
      </w:r>
    </w:p>
    <w:p w14:paraId="314FCDE9" w14:textId="77777777" w:rsidR="00BF0B06" w:rsidRPr="000E7836" w:rsidRDefault="00BF0B06" w:rsidP="00747F83">
      <w:pPr>
        <w:rPr>
          <w:rFonts w:ascii="Arial Narrow" w:hAnsi="Arial Narrow" w:cs="Arial"/>
          <w:b/>
          <w:sz w:val="20"/>
          <w:szCs w:val="20"/>
        </w:rPr>
      </w:pPr>
    </w:p>
    <w:p w14:paraId="5D9B3684" w14:textId="77777777" w:rsidR="00BF0B06" w:rsidRPr="000E7836" w:rsidRDefault="00BF0B06" w:rsidP="00747F83">
      <w:pPr>
        <w:rPr>
          <w:rFonts w:ascii="Arial Narrow" w:hAnsi="Arial Narrow" w:cs="Arial"/>
          <w:b/>
          <w:sz w:val="20"/>
          <w:szCs w:val="20"/>
        </w:rPr>
      </w:pPr>
    </w:p>
    <w:p w14:paraId="26873BBF" w14:textId="77777777" w:rsidR="00747F83" w:rsidRPr="00644D76" w:rsidRDefault="00747F83" w:rsidP="00747F83">
      <w:pPr>
        <w:rPr>
          <w:rFonts w:ascii="Arial Narrow" w:hAnsi="Arial Narrow" w:cs="Arial"/>
          <w:b/>
          <w:sz w:val="28"/>
          <w:szCs w:val="28"/>
        </w:rPr>
      </w:pPr>
      <w:r w:rsidRPr="00644D76">
        <w:rPr>
          <w:rFonts w:ascii="Arial Narrow" w:hAnsi="Arial Narrow" w:cs="Arial"/>
          <w:b/>
          <w:sz w:val="28"/>
          <w:szCs w:val="28"/>
        </w:rPr>
        <w:lastRenderedPageBreak/>
        <w:t>Personal Property Only Relocation Entitlements</w:t>
      </w:r>
    </w:p>
    <w:p w14:paraId="2D0BE767" w14:textId="77777777" w:rsidR="00400124" w:rsidRPr="000E7836" w:rsidRDefault="00400124" w:rsidP="00747F83">
      <w:pPr>
        <w:rPr>
          <w:rFonts w:ascii="Arial Narrow" w:hAnsi="Arial Narrow" w:cs="Arial"/>
          <w:sz w:val="20"/>
          <w:szCs w:val="20"/>
        </w:rPr>
      </w:pPr>
    </w:p>
    <w:p w14:paraId="3CB92C2A" w14:textId="5EB91F1D" w:rsidR="00747F83" w:rsidRPr="00085527" w:rsidRDefault="00747F83" w:rsidP="00747F83">
      <w:pPr>
        <w:rPr>
          <w:rFonts w:ascii="Arial Narrow" w:hAnsi="Arial Narrow" w:cs="Arial"/>
        </w:rPr>
      </w:pPr>
      <w:r w:rsidRPr="00085527">
        <w:rPr>
          <w:rFonts w:ascii="Arial Narrow" w:hAnsi="Arial Narrow" w:cs="Arial"/>
        </w:rPr>
        <w:t>The basic entitlement for the relocation of personal property only shall be a payment for the expense of moving your personal property to a replacement location of your choosing. The</w:t>
      </w:r>
      <w:r w:rsidR="003D3497" w:rsidRPr="00085527">
        <w:rPr>
          <w:rFonts w:ascii="Arial Narrow" w:hAnsi="Arial Narrow" w:cs="Arial"/>
        </w:rPr>
        <w:t xml:space="preserve"> </w:t>
      </w:r>
      <w:r w:rsidRPr="00085527">
        <w:rPr>
          <w:rFonts w:ascii="Arial Narrow" w:hAnsi="Arial Narrow" w:cs="Arial"/>
        </w:rPr>
        <w:t>payment shall be limited to expenses for moving within a 50</w:t>
      </w:r>
      <w:r w:rsidR="003D3497" w:rsidRPr="00085527">
        <w:rPr>
          <w:rFonts w:ascii="Arial Narrow" w:hAnsi="Arial Narrow" w:cs="Arial"/>
        </w:rPr>
        <w:t xml:space="preserve"> </w:t>
      </w:r>
      <w:r w:rsidRPr="00085527">
        <w:rPr>
          <w:rFonts w:ascii="Arial Narrow" w:hAnsi="Arial Narrow" w:cs="Arial"/>
        </w:rPr>
        <w:t>mile radius of the displacement location.</w:t>
      </w:r>
    </w:p>
    <w:p w14:paraId="26E0279E" w14:textId="77777777" w:rsidR="00400124" w:rsidRPr="000E7836" w:rsidRDefault="00400124" w:rsidP="00747F83">
      <w:pPr>
        <w:rPr>
          <w:rFonts w:ascii="Arial Narrow" w:hAnsi="Arial Narrow" w:cs="Arial"/>
          <w:sz w:val="20"/>
          <w:szCs w:val="20"/>
        </w:rPr>
      </w:pPr>
    </w:p>
    <w:p w14:paraId="005CA282" w14:textId="7EEB87BA" w:rsidR="00747F83" w:rsidRPr="00085527" w:rsidRDefault="00747F83" w:rsidP="00747F83">
      <w:pPr>
        <w:rPr>
          <w:rFonts w:ascii="Arial Narrow" w:hAnsi="Arial Narrow" w:cs="Arial"/>
        </w:rPr>
      </w:pPr>
      <w:r w:rsidRPr="00085527">
        <w:rPr>
          <w:rFonts w:ascii="Arial Narrow" w:hAnsi="Arial Narrow" w:cs="Arial"/>
        </w:rPr>
        <w:t>As the owner of personal property that must be moved, you have the option of selecting a commercial move, a self-move, or an actual cost</w:t>
      </w:r>
      <w:r w:rsidR="003D3497" w:rsidRPr="00085527">
        <w:rPr>
          <w:rFonts w:ascii="Arial Narrow" w:hAnsi="Arial Narrow" w:cs="Arial"/>
        </w:rPr>
        <w:t xml:space="preserve"> </w:t>
      </w:r>
      <w:r w:rsidRPr="00085527">
        <w:rPr>
          <w:rFonts w:ascii="Arial Narrow" w:hAnsi="Arial Narrow" w:cs="Arial"/>
        </w:rPr>
        <w:t>move as further explained below.</w:t>
      </w:r>
    </w:p>
    <w:p w14:paraId="7CD2FAFD" w14:textId="6AC4A975" w:rsidR="00400124" w:rsidRDefault="00400124" w:rsidP="00747F83">
      <w:pPr>
        <w:rPr>
          <w:rFonts w:ascii="Arial Narrow" w:hAnsi="Arial Narrow" w:cs="Arial"/>
          <w:b/>
          <w:sz w:val="20"/>
          <w:szCs w:val="20"/>
        </w:rPr>
      </w:pPr>
    </w:p>
    <w:p w14:paraId="15A5D68E" w14:textId="77777777" w:rsidR="000E7836" w:rsidRPr="000E7836" w:rsidRDefault="000E7836" w:rsidP="00747F83">
      <w:pPr>
        <w:rPr>
          <w:rFonts w:ascii="Arial Narrow" w:hAnsi="Arial Narrow" w:cs="Arial"/>
          <w:b/>
          <w:sz w:val="20"/>
          <w:szCs w:val="20"/>
        </w:rPr>
      </w:pPr>
    </w:p>
    <w:p w14:paraId="44F3AABB" w14:textId="77777777" w:rsidR="00747F83" w:rsidRPr="00085527" w:rsidRDefault="00747F83" w:rsidP="000E7836">
      <w:pPr>
        <w:rPr>
          <w:rFonts w:ascii="Arial Narrow" w:hAnsi="Arial Narrow" w:cs="Arial"/>
          <w:b/>
          <w:i/>
        </w:rPr>
      </w:pPr>
      <w:r w:rsidRPr="00085527">
        <w:rPr>
          <w:rFonts w:ascii="Arial Narrow" w:hAnsi="Arial Narrow" w:cs="Arial"/>
          <w:b/>
          <w:i/>
        </w:rPr>
        <w:t>Commercial Move Option</w:t>
      </w:r>
    </w:p>
    <w:p w14:paraId="52E9A2AC" w14:textId="77777777" w:rsidR="00400124" w:rsidRPr="000E7836" w:rsidRDefault="00400124" w:rsidP="00747F83">
      <w:pPr>
        <w:rPr>
          <w:rFonts w:ascii="Arial Narrow" w:hAnsi="Arial Narrow" w:cs="Arial"/>
          <w:sz w:val="20"/>
          <w:szCs w:val="20"/>
        </w:rPr>
      </w:pPr>
    </w:p>
    <w:p w14:paraId="6812790C" w14:textId="7902C51D" w:rsidR="00747F83" w:rsidRPr="00085527" w:rsidRDefault="00747F83" w:rsidP="00747F83">
      <w:pPr>
        <w:rPr>
          <w:rFonts w:ascii="Arial Narrow" w:hAnsi="Arial Narrow" w:cs="Arial"/>
        </w:rPr>
      </w:pPr>
      <w:r w:rsidRPr="00085527">
        <w:rPr>
          <w:rFonts w:ascii="Arial Narrow" w:hAnsi="Arial Narrow" w:cs="Arial"/>
        </w:rPr>
        <w:t xml:space="preserve">As a displaced person, you can request that the </w:t>
      </w:r>
      <w:r w:rsidR="00BF5641" w:rsidRPr="00085527">
        <w:rPr>
          <w:rFonts w:ascii="Arial Narrow" w:hAnsi="Arial Narrow" w:cs="Arial"/>
        </w:rPr>
        <w:t xml:space="preserve">Agency </w:t>
      </w:r>
      <w:r w:rsidRPr="00085527">
        <w:rPr>
          <w:rFonts w:ascii="Arial Narrow" w:hAnsi="Arial Narrow" w:cs="Arial"/>
        </w:rPr>
        <w:t>provide a commercial mover and pay that mover directly. Y</w:t>
      </w:r>
      <w:r w:rsidR="00BF5641" w:rsidRPr="00085527">
        <w:rPr>
          <w:rFonts w:ascii="Arial Narrow" w:hAnsi="Arial Narrow" w:cs="Arial"/>
        </w:rPr>
        <w:t>ou will need to work with your Relocation S</w:t>
      </w:r>
      <w:r w:rsidRPr="00085527">
        <w:rPr>
          <w:rFonts w:ascii="Arial Narrow" w:hAnsi="Arial Narrow" w:cs="Arial"/>
        </w:rPr>
        <w:t>pecialist to prepare a written and photo inventory of the items to be moved.</w:t>
      </w:r>
    </w:p>
    <w:p w14:paraId="27BAB606" w14:textId="1530B1C6" w:rsidR="00747F83" w:rsidRDefault="00747F83" w:rsidP="00747F83">
      <w:pPr>
        <w:rPr>
          <w:rFonts w:ascii="Arial Narrow" w:hAnsi="Arial Narrow" w:cs="Arial"/>
          <w:sz w:val="20"/>
          <w:szCs w:val="20"/>
        </w:rPr>
      </w:pPr>
    </w:p>
    <w:p w14:paraId="0820BB78" w14:textId="77777777" w:rsidR="000E7836" w:rsidRPr="000E7836" w:rsidRDefault="000E7836" w:rsidP="00747F83">
      <w:pPr>
        <w:rPr>
          <w:rFonts w:ascii="Arial Narrow" w:hAnsi="Arial Narrow" w:cs="Arial"/>
          <w:sz w:val="20"/>
          <w:szCs w:val="20"/>
        </w:rPr>
      </w:pPr>
    </w:p>
    <w:p w14:paraId="40E5D6E7" w14:textId="77777777" w:rsidR="00747F83" w:rsidRPr="00085527" w:rsidRDefault="00747F83" w:rsidP="00747F83">
      <w:pPr>
        <w:rPr>
          <w:rFonts w:ascii="Arial Narrow" w:hAnsi="Arial Narrow" w:cs="Arial"/>
          <w:b/>
          <w:i/>
        </w:rPr>
      </w:pPr>
      <w:r w:rsidRPr="00085527">
        <w:rPr>
          <w:rFonts w:ascii="Arial Narrow" w:hAnsi="Arial Narrow" w:cs="Arial"/>
          <w:b/>
          <w:i/>
        </w:rPr>
        <w:t>Self-Move Option</w:t>
      </w:r>
    </w:p>
    <w:p w14:paraId="4C7223C6" w14:textId="77777777" w:rsidR="00400124" w:rsidRPr="000E7836" w:rsidRDefault="00400124" w:rsidP="00747F83">
      <w:pPr>
        <w:rPr>
          <w:rFonts w:ascii="Arial Narrow" w:hAnsi="Arial Narrow" w:cs="Arial"/>
          <w:sz w:val="20"/>
          <w:szCs w:val="20"/>
        </w:rPr>
      </w:pPr>
    </w:p>
    <w:p w14:paraId="51D34430" w14:textId="704F7BBB" w:rsidR="00747F83" w:rsidRPr="00085527" w:rsidRDefault="00747F83" w:rsidP="00747F83">
      <w:pPr>
        <w:rPr>
          <w:rFonts w:ascii="Arial Narrow" w:hAnsi="Arial Narrow" w:cs="Arial"/>
        </w:rPr>
      </w:pPr>
      <w:r w:rsidRPr="00085527">
        <w:rPr>
          <w:rFonts w:ascii="Arial Narrow" w:hAnsi="Arial Narrow" w:cs="Arial"/>
        </w:rPr>
        <w:t>You also have the option of selecting a self-move and taking full responsibility for your move. Y</w:t>
      </w:r>
      <w:r w:rsidR="00BF5641" w:rsidRPr="00085527">
        <w:rPr>
          <w:rFonts w:ascii="Arial Narrow" w:hAnsi="Arial Narrow" w:cs="Arial"/>
        </w:rPr>
        <w:t>ou will need to work with your Relocation S</w:t>
      </w:r>
      <w:r w:rsidRPr="00085527">
        <w:rPr>
          <w:rFonts w:ascii="Arial Narrow" w:hAnsi="Arial Narrow" w:cs="Arial"/>
        </w:rPr>
        <w:t>pecialist to prepare a written and photo inventory of the items to be moved. The self-move option is based on either bids by qualifi</w:t>
      </w:r>
      <w:r w:rsidR="00BF5641" w:rsidRPr="00085527">
        <w:rPr>
          <w:rFonts w:ascii="Arial Narrow" w:hAnsi="Arial Narrow" w:cs="Arial"/>
        </w:rPr>
        <w:t>ed movers, an estimate by your Relocation S</w:t>
      </w:r>
      <w:r w:rsidRPr="00085527">
        <w:rPr>
          <w:rFonts w:ascii="Arial Narrow" w:hAnsi="Arial Narrow" w:cs="Arial"/>
        </w:rPr>
        <w:t>pecialist, or predetermined move cost schedul</w:t>
      </w:r>
      <w:r w:rsidR="00BF5641" w:rsidRPr="00085527">
        <w:rPr>
          <w:rFonts w:ascii="Arial Narrow" w:hAnsi="Arial Narrow" w:cs="Arial"/>
        </w:rPr>
        <w:t>es. If a bid is required, your Relocation S</w:t>
      </w:r>
      <w:r w:rsidRPr="00085527">
        <w:rPr>
          <w:rFonts w:ascii="Arial Narrow" w:hAnsi="Arial Narrow" w:cs="Arial"/>
        </w:rPr>
        <w:t>pecialist will prepare a Request for Proposal and Moving Specification and obtain at least two bids from qualified movers. You will be offered an amount not to exceed the lowest acceptable bid.</w:t>
      </w:r>
    </w:p>
    <w:p w14:paraId="30EBB670" w14:textId="127BCF05" w:rsidR="00400124" w:rsidRDefault="00400124" w:rsidP="00747F83">
      <w:pPr>
        <w:rPr>
          <w:rFonts w:ascii="Arial Narrow" w:hAnsi="Arial Narrow" w:cs="Arial"/>
          <w:b/>
          <w:i/>
          <w:sz w:val="20"/>
          <w:szCs w:val="20"/>
        </w:rPr>
      </w:pPr>
    </w:p>
    <w:p w14:paraId="32C19BBA" w14:textId="77777777" w:rsidR="000E7836" w:rsidRPr="000E7836" w:rsidRDefault="000E7836" w:rsidP="00747F83">
      <w:pPr>
        <w:rPr>
          <w:rFonts w:ascii="Arial Narrow" w:hAnsi="Arial Narrow" w:cs="Arial"/>
          <w:b/>
          <w:i/>
          <w:sz w:val="20"/>
          <w:szCs w:val="20"/>
        </w:rPr>
      </w:pPr>
    </w:p>
    <w:p w14:paraId="5DC2A7B9" w14:textId="77777777" w:rsidR="00747F83" w:rsidRPr="00085527" w:rsidRDefault="00747F83" w:rsidP="00747F83">
      <w:pPr>
        <w:rPr>
          <w:rFonts w:ascii="Arial Narrow" w:hAnsi="Arial Narrow" w:cs="Arial"/>
          <w:b/>
          <w:i/>
        </w:rPr>
      </w:pPr>
      <w:r w:rsidRPr="00085527">
        <w:rPr>
          <w:rFonts w:ascii="Arial Narrow" w:hAnsi="Arial Narrow" w:cs="Arial"/>
          <w:b/>
          <w:i/>
        </w:rPr>
        <w:t>Move Cost Schedules</w:t>
      </w:r>
    </w:p>
    <w:p w14:paraId="0FA95786" w14:textId="77777777" w:rsidR="00400124" w:rsidRPr="000E7836" w:rsidRDefault="00400124" w:rsidP="00747F83">
      <w:pPr>
        <w:rPr>
          <w:rFonts w:ascii="Arial Narrow" w:hAnsi="Arial Narrow" w:cs="Arial"/>
          <w:sz w:val="20"/>
          <w:szCs w:val="20"/>
        </w:rPr>
      </w:pPr>
    </w:p>
    <w:p w14:paraId="6E8F780F" w14:textId="77777777" w:rsidR="00747F83" w:rsidRPr="00085527" w:rsidRDefault="00747F83" w:rsidP="00747F83">
      <w:pPr>
        <w:rPr>
          <w:rFonts w:ascii="Arial Narrow" w:hAnsi="Arial Narrow" w:cs="Arial"/>
        </w:rPr>
      </w:pPr>
      <w:r w:rsidRPr="00085527">
        <w:rPr>
          <w:rFonts w:ascii="Arial Narrow" w:hAnsi="Arial Narrow" w:cs="Arial"/>
        </w:rPr>
        <w:t>Personal property moved from a commercial storage facility shall be based on the following:</w:t>
      </w:r>
    </w:p>
    <w:p w14:paraId="10FDC320" w14:textId="77777777" w:rsidR="00BF0B06" w:rsidRPr="000E7836" w:rsidRDefault="00BF0B06" w:rsidP="00BF0B06">
      <w:pPr>
        <w:widowControl w:val="0"/>
        <w:autoSpaceDE w:val="0"/>
        <w:autoSpaceDN w:val="0"/>
        <w:adjustRightInd w:val="0"/>
        <w:rPr>
          <w:rFonts w:ascii="Arial Narrow" w:hAnsi="Arial Narrow" w:cs="HelveticaNeueLT Std"/>
          <w:color w:val="000000"/>
          <w:sz w:val="20"/>
          <w:szCs w:val="20"/>
        </w:rPr>
      </w:pPr>
    </w:p>
    <w:tbl>
      <w:tblPr>
        <w:tblW w:w="0" w:type="auto"/>
        <w:tblInd w:w="105"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firstRow="1" w:lastRow="1" w:firstColumn="1" w:lastColumn="1" w:noHBand="0" w:noVBand="0"/>
      </w:tblPr>
      <w:tblGrid>
        <w:gridCol w:w="2287"/>
        <w:gridCol w:w="2287"/>
      </w:tblGrid>
      <w:tr w:rsidR="00BF5641" w:rsidRPr="00085527" w14:paraId="12D277D8" w14:textId="77777777" w:rsidTr="0017238B">
        <w:trPr>
          <w:trHeight w:hRule="exact" w:val="288"/>
        </w:trPr>
        <w:tc>
          <w:tcPr>
            <w:tcW w:w="2287" w:type="dxa"/>
            <w:shd w:val="clear" w:color="auto" w:fill="DCDDDE"/>
          </w:tcPr>
          <w:p w14:paraId="1E515A4D" w14:textId="77777777" w:rsidR="00BF5641" w:rsidRPr="00085527" w:rsidRDefault="00BF5641" w:rsidP="0017238B">
            <w:pPr>
              <w:pStyle w:val="TableParagraph"/>
              <w:spacing w:before="36"/>
              <w:ind w:left="299" w:right="299"/>
              <w:rPr>
                <w:rFonts w:ascii="Arial Narrow" w:hAnsi="Arial Narrow"/>
                <w:b/>
                <w:sz w:val="24"/>
                <w:szCs w:val="24"/>
              </w:rPr>
            </w:pPr>
            <w:r w:rsidRPr="00085527">
              <w:rPr>
                <w:rFonts w:ascii="Arial Narrow" w:hAnsi="Arial Narrow"/>
                <w:b/>
                <w:color w:val="231F20"/>
                <w:w w:val="90"/>
                <w:sz w:val="24"/>
                <w:szCs w:val="24"/>
              </w:rPr>
              <w:t>Size of Storage Unit</w:t>
            </w:r>
          </w:p>
        </w:tc>
        <w:tc>
          <w:tcPr>
            <w:tcW w:w="2287" w:type="dxa"/>
            <w:shd w:val="clear" w:color="auto" w:fill="DCDDDE"/>
          </w:tcPr>
          <w:p w14:paraId="320206FA" w14:textId="77777777" w:rsidR="00BF5641" w:rsidRPr="00085527" w:rsidRDefault="00BF5641" w:rsidP="0017238B">
            <w:pPr>
              <w:pStyle w:val="TableParagraph"/>
              <w:spacing w:before="36"/>
              <w:ind w:left="299" w:right="299"/>
              <w:rPr>
                <w:rFonts w:ascii="Arial Narrow" w:hAnsi="Arial Narrow"/>
                <w:b/>
                <w:sz w:val="24"/>
                <w:szCs w:val="24"/>
              </w:rPr>
            </w:pPr>
            <w:r w:rsidRPr="00085527">
              <w:rPr>
                <w:rFonts w:ascii="Arial Narrow" w:hAnsi="Arial Narrow"/>
                <w:b/>
                <w:color w:val="231F20"/>
                <w:w w:val="90"/>
                <w:sz w:val="24"/>
                <w:szCs w:val="24"/>
              </w:rPr>
              <w:t>Move Cost</w:t>
            </w:r>
          </w:p>
        </w:tc>
      </w:tr>
      <w:tr w:rsidR="00BF5641" w:rsidRPr="00085527" w14:paraId="4C683A73" w14:textId="77777777" w:rsidTr="0017238B">
        <w:trPr>
          <w:trHeight w:hRule="exact" w:val="288"/>
        </w:trPr>
        <w:tc>
          <w:tcPr>
            <w:tcW w:w="2287" w:type="dxa"/>
            <w:tcBorders>
              <w:bottom w:val="single" w:sz="8" w:space="0" w:color="6D6E71"/>
              <w:right w:val="single" w:sz="8" w:space="0" w:color="6D6E71"/>
            </w:tcBorders>
          </w:tcPr>
          <w:p w14:paraId="2F4C56D6" w14:textId="77777777" w:rsidR="00BF5641" w:rsidRPr="00085527" w:rsidRDefault="00BF5641" w:rsidP="0017238B">
            <w:pPr>
              <w:pStyle w:val="TableParagraph"/>
              <w:spacing w:before="31"/>
              <w:rPr>
                <w:rFonts w:ascii="Arial Narrow" w:hAnsi="Arial Narrow"/>
                <w:sz w:val="24"/>
                <w:szCs w:val="24"/>
              </w:rPr>
            </w:pPr>
            <w:r w:rsidRPr="00085527">
              <w:rPr>
                <w:rFonts w:ascii="Arial Narrow" w:hAnsi="Arial Narrow"/>
                <w:color w:val="231F20"/>
                <w:sz w:val="24"/>
                <w:szCs w:val="24"/>
              </w:rPr>
              <w:t>5' by 5' (25 sq. ft.)</w:t>
            </w:r>
          </w:p>
        </w:tc>
        <w:tc>
          <w:tcPr>
            <w:tcW w:w="2287" w:type="dxa"/>
            <w:tcBorders>
              <w:left w:val="single" w:sz="8" w:space="0" w:color="6D6E71"/>
              <w:bottom w:val="single" w:sz="8" w:space="0" w:color="6D6E71"/>
            </w:tcBorders>
          </w:tcPr>
          <w:p w14:paraId="1EAC2084" w14:textId="77777777" w:rsidR="00BF5641" w:rsidRPr="00085527" w:rsidRDefault="00BF5641" w:rsidP="0017238B">
            <w:pPr>
              <w:pStyle w:val="TableParagraph"/>
              <w:spacing w:before="31"/>
              <w:ind w:left="221"/>
              <w:rPr>
                <w:rFonts w:ascii="Arial Narrow" w:hAnsi="Arial Narrow"/>
                <w:sz w:val="24"/>
                <w:szCs w:val="24"/>
              </w:rPr>
            </w:pPr>
            <w:r w:rsidRPr="00085527">
              <w:rPr>
                <w:rFonts w:ascii="Arial Narrow" w:hAnsi="Arial Narrow"/>
                <w:color w:val="231F20"/>
                <w:w w:val="105"/>
                <w:sz w:val="24"/>
                <w:szCs w:val="24"/>
              </w:rPr>
              <w:t>$300</w:t>
            </w:r>
          </w:p>
        </w:tc>
      </w:tr>
      <w:tr w:rsidR="00BF5641" w:rsidRPr="00085527" w14:paraId="42B768B2" w14:textId="77777777" w:rsidTr="0017238B">
        <w:trPr>
          <w:trHeight w:hRule="exact" w:val="288"/>
        </w:trPr>
        <w:tc>
          <w:tcPr>
            <w:tcW w:w="2287" w:type="dxa"/>
            <w:tcBorders>
              <w:top w:val="single" w:sz="8" w:space="0" w:color="6D6E71"/>
              <w:bottom w:val="single" w:sz="8" w:space="0" w:color="6D6E71"/>
              <w:right w:val="single" w:sz="8" w:space="0" w:color="6D6E71"/>
            </w:tcBorders>
          </w:tcPr>
          <w:p w14:paraId="55972717" w14:textId="77777777" w:rsidR="00BF5641" w:rsidRPr="00085527" w:rsidRDefault="00BF5641" w:rsidP="0017238B">
            <w:pPr>
              <w:pStyle w:val="TableParagraph"/>
              <w:rPr>
                <w:rFonts w:ascii="Arial Narrow" w:hAnsi="Arial Narrow"/>
                <w:sz w:val="24"/>
                <w:szCs w:val="24"/>
              </w:rPr>
            </w:pPr>
            <w:r w:rsidRPr="00085527">
              <w:rPr>
                <w:rFonts w:ascii="Arial Narrow" w:hAnsi="Arial Narrow"/>
                <w:color w:val="231F20"/>
                <w:sz w:val="24"/>
                <w:szCs w:val="24"/>
              </w:rPr>
              <w:t>5' by 10' (50 sq. ft.)</w:t>
            </w:r>
          </w:p>
        </w:tc>
        <w:tc>
          <w:tcPr>
            <w:tcW w:w="2287" w:type="dxa"/>
            <w:tcBorders>
              <w:top w:val="single" w:sz="8" w:space="0" w:color="6D6E71"/>
              <w:left w:val="single" w:sz="8" w:space="0" w:color="6D6E71"/>
              <w:bottom w:val="single" w:sz="8" w:space="0" w:color="6D6E71"/>
            </w:tcBorders>
          </w:tcPr>
          <w:p w14:paraId="22C38AFA" w14:textId="77777777" w:rsidR="00BF5641" w:rsidRPr="00085527" w:rsidRDefault="00BF5641" w:rsidP="0017238B">
            <w:pPr>
              <w:pStyle w:val="TableParagraph"/>
              <w:ind w:left="221"/>
              <w:rPr>
                <w:rFonts w:ascii="Arial Narrow" w:hAnsi="Arial Narrow"/>
                <w:sz w:val="24"/>
                <w:szCs w:val="24"/>
              </w:rPr>
            </w:pPr>
            <w:r w:rsidRPr="00085527">
              <w:rPr>
                <w:rFonts w:ascii="Arial Narrow" w:hAnsi="Arial Narrow"/>
                <w:color w:val="231F20"/>
                <w:w w:val="105"/>
                <w:sz w:val="24"/>
                <w:szCs w:val="24"/>
              </w:rPr>
              <w:t>$600</w:t>
            </w:r>
          </w:p>
        </w:tc>
      </w:tr>
      <w:tr w:rsidR="00BF5641" w:rsidRPr="00085527" w14:paraId="2BFBD5EF" w14:textId="77777777" w:rsidTr="0017238B">
        <w:trPr>
          <w:trHeight w:hRule="exact" w:val="288"/>
        </w:trPr>
        <w:tc>
          <w:tcPr>
            <w:tcW w:w="2287" w:type="dxa"/>
            <w:tcBorders>
              <w:top w:val="single" w:sz="8" w:space="0" w:color="6D6E71"/>
              <w:bottom w:val="single" w:sz="8" w:space="0" w:color="6D6E71"/>
              <w:right w:val="single" w:sz="8" w:space="0" w:color="6D6E71"/>
            </w:tcBorders>
          </w:tcPr>
          <w:p w14:paraId="11384045" w14:textId="77777777" w:rsidR="00BF5641" w:rsidRPr="00085527" w:rsidRDefault="00BF5641" w:rsidP="0017238B">
            <w:pPr>
              <w:pStyle w:val="TableParagraph"/>
              <w:rPr>
                <w:rFonts w:ascii="Arial Narrow" w:hAnsi="Arial Narrow"/>
                <w:sz w:val="24"/>
                <w:szCs w:val="24"/>
              </w:rPr>
            </w:pPr>
            <w:r w:rsidRPr="00085527">
              <w:rPr>
                <w:rFonts w:ascii="Arial Narrow" w:hAnsi="Arial Narrow"/>
                <w:color w:val="231F20"/>
                <w:sz w:val="24"/>
                <w:szCs w:val="24"/>
              </w:rPr>
              <w:t>5' by 15' (75 sq. ft.)</w:t>
            </w:r>
          </w:p>
        </w:tc>
        <w:tc>
          <w:tcPr>
            <w:tcW w:w="2287" w:type="dxa"/>
            <w:tcBorders>
              <w:top w:val="single" w:sz="8" w:space="0" w:color="6D6E71"/>
              <w:left w:val="single" w:sz="8" w:space="0" w:color="6D6E71"/>
              <w:bottom w:val="single" w:sz="8" w:space="0" w:color="6D6E71"/>
            </w:tcBorders>
          </w:tcPr>
          <w:p w14:paraId="3606551C" w14:textId="77777777" w:rsidR="00BF5641" w:rsidRPr="00085527" w:rsidRDefault="00BF5641" w:rsidP="0017238B">
            <w:pPr>
              <w:pStyle w:val="TableParagraph"/>
              <w:ind w:left="221"/>
              <w:rPr>
                <w:rFonts w:ascii="Arial Narrow" w:hAnsi="Arial Narrow"/>
                <w:sz w:val="24"/>
                <w:szCs w:val="24"/>
              </w:rPr>
            </w:pPr>
            <w:r w:rsidRPr="00085527">
              <w:rPr>
                <w:rFonts w:ascii="Arial Narrow" w:hAnsi="Arial Narrow"/>
                <w:color w:val="231F20"/>
                <w:w w:val="105"/>
                <w:sz w:val="24"/>
                <w:szCs w:val="24"/>
              </w:rPr>
              <w:t>$900</w:t>
            </w:r>
          </w:p>
        </w:tc>
      </w:tr>
      <w:tr w:rsidR="00BF5641" w:rsidRPr="00085527" w14:paraId="08EBB649" w14:textId="77777777" w:rsidTr="0017238B">
        <w:trPr>
          <w:trHeight w:hRule="exact" w:val="288"/>
        </w:trPr>
        <w:tc>
          <w:tcPr>
            <w:tcW w:w="2287" w:type="dxa"/>
            <w:tcBorders>
              <w:top w:val="single" w:sz="8" w:space="0" w:color="6D6E71"/>
              <w:bottom w:val="single" w:sz="8" w:space="0" w:color="6D6E71"/>
              <w:right w:val="single" w:sz="8" w:space="0" w:color="6D6E71"/>
            </w:tcBorders>
          </w:tcPr>
          <w:p w14:paraId="774B0597" w14:textId="77777777" w:rsidR="00BF5641" w:rsidRPr="00085527" w:rsidRDefault="00BF5641" w:rsidP="0017238B">
            <w:pPr>
              <w:pStyle w:val="TableParagraph"/>
              <w:rPr>
                <w:rFonts w:ascii="Arial Narrow" w:hAnsi="Arial Narrow"/>
                <w:sz w:val="24"/>
                <w:szCs w:val="24"/>
              </w:rPr>
            </w:pPr>
            <w:r w:rsidRPr="00085527">
              <w:rPr>
                <w:rFonts w:ascii="Arial Narrow" w:hAnsi="Arial Narrow"/>
                <w:color w:val="231F20"/>
                <w:sz w:val="24"/>
                <w:szCs w:val="24"/>
              </w:rPr>
              <w:t>10' by 10' (100 sq. ft.)</w:t>
            </w:r>
          </w:p>
        </w:tc>
        <w:tc>
          <w:tcPr>
            <w:tcW w:w="2287" w:type="dxa"/>
            <w:tcBorders>
              <w:top w:val="single" w:sz="8" w:space="0" w:color="6D6E71"/>
              <w:left w:val="single" w:sz="8" w:space="0" w:color="6D6E71"/>
              <w:bottom w:val="single" w:sz="8" w:space="0" w:color="6D6E71"/>
            </w:tcBorders>
          </w:tcPr>
          <w:p w14:paraId="142274E8" w14:textId="77777777" w:rsidR="00BF5641" w:rsidRPr="00085527" w:rsidRDefault="00BF5641" w:rsidP="0017238B">
            <w:pPr>
              <w:pStyle w:val="TableParagraph"/>
              <w:ind w:left="222"/>
              <w:rPr>
                <w:rFonts w:ascii="Arial Narrow" w:hAnsi="Arial Narrow"/>
                <w:sz w:val="24"/>
                <w:szCs w:val="24"/>
              </w:rPr>
            </w:pPr>
            <w:r w:rsidRPr="00085527">
              <w:rPr>
                <w:rFonts w:ascii="Arial Narrow" w:hAnsi="Arial Narrow"/>
                <w:color w:val="231F20"/>
                <w:w w:val="105"/>
                <w:sz w:val="24"/>
                <w:szCs w:val="24"/>
              </w:rPr>
              <w:t>$1,200</w:t>
            </w:r>
          </w:p>
        </w:tc>
      </w:tr>
      <w:tr w:rsidR="00BF5641" w:rsidRPr="00085527" w14:paraId="1CE3BE2C" w14:textId="77777777" w:rsidTr="0017238B">
        <w:trPr>
          <w:trHeight w:hRule="exact" w:val="288"/>
        </w:trPr>
        <w:tc>
          <w:tcPr>
            <w:tcW w:w="2287" w:type="dxa"/>
            <w:tcBorders>
              <w:top w:val="single" w:sz="8" w:space="0" w:color="6D6E71"/>
              <w:bottom w:val="single" w:sz="8" w:space="0" w:color="6D6E71"/>
              <w:right w:val="single" w:sz="8" w:space="0" w:color="6D6E71"/>
            </w:tcBorders>
          </w:tcPr>
          <w:p w14:paraId="55BCC55E" w14:textId="77777777" w:rsidR="00BF5641" w:rsidRPr="00085527" w:rsidRDefault="00BF5641" w:rsidP="0017238B">
            <w:pPr>
              <w:pStyle w:val="TableParagraph"/>
              <w:rPr>
                <w:rFonts w:ascii="Arial Narrow" w:hAnsi="Arial Narrow"/>
                <w:sz w:val="24"/>
                <w:szCs w:val="24"/>
              </w:rPr>
            </w:pPr>
            <w:r w:rsidRPr="00085527">
              <w:rPr>
                <w:rFonts w:ascii="Arial Narrow" w:hAnsi="Arial Narrow"/>
                <w:color w:val="231F20"/>
                <w:sz w:val="24"/>
                <w:szCs w:val="24"/>
              </w:rPr>
              <w:t>10' by 15' (150 sq. ft.)</w:t>
            </w:r>
          </w:p>
        </w:tc>
        <w:tc>
          <w:tcPr>
            <w:tcW w:w="2287" w:type="dxa"/>
            <w:tcBorders>
              <w:top w:val="single" w:sz="8" w:space="0" w:color="6D6E71"/>
              <w:left w:val="single" w:sz="8" w:space="0" w:color="6D6E71"/>
              <w:bottom w:val="single" w:sz="8" w:space="0" w:color="6D6E71"/>
            </w:tcBorders>
          </w:tcPr>
          <w:p w14:paraId="45EC7F7D" w14:textId="77777777" w:rsidR="00BF5641" w:rsidRPr="00085527" w:rsidRDefault="00BF5641" w:rsidP="0017238B">
            <w:pPr>
              <w:pStyle w:val="TableParagraph"/>
              <w:ind w:left="222"/>
              <w:rPr>
                <w:rFonts w:ascii="Arial Narrow" w:hAnsi="Arial Narrow"/>
                <w:sz w:val="24"/>
                <w:szCs w:val="24"/>
              </w:rPr>
            </w:pPr>
            <w:r w:rsidRPr="00085527">
              <w:rPr>
                <w:rFonts w:ascii="Arial Narrow" w:hAnsi="Arial Narrow"/>
                <w:color w:val="231F20"/>
                <w:w w:val="105"/>
                <w:sz w:val="24"/>
                <w:szCs w:val="24"/>
              </w:rPr>
              <w:t>$1,800</w:t>
            </w:r>
          </w:p>
        </w:tc>
      </w:tr>
      <w:tr w:rsidR="00BF5641" w:rsidRPr="00085527" w14:paraId="2FDE94DF" w14:textId="77777777" w:rsidTr="0017238B">
        <w:trPr>
          <w:trHeight w:hRule="exact" w:val="288"/>
        </w:trPr>
        <w:tc>
          <w:tcPr>
            <w:tcW w:w="2287" w:type="dxa"/>
            <w:tcBorders>
              <w:top w:val="single" w:sz="8" w:space="0" w:color="6D6E71"/>
              <w:bottom w:val="single" w:sz="8" w:space="0" w:color="6D6E71"/>
              <w:right w:val="single" w:sz="8" w:space="0" w:color="6D6E71"/>
            </w:tcBorders>
          </w:tcPr>
          <w:p w14:paraId="680356B4" w14:textId="77777777" w:rsidR="00BF5641" w:rsidRPr="00085527" w:rsidRDefault="00BF5641" w:rsidP="0017238B">
            <w:pPr>
              <w:pStyle w:val="TableParagraph"/>
              <w:rPr>
                <w:rFonts w:ascii="Arial Narrow" w:hAnsi="Arial Narrow"/>
                <w:sz w:val="24"/>
                <w:szCs w:val="24"/>
              </w:rPr>
            </w:pPr>
            <w:r w:rsidRPr="00085527">
              <w:rPr>
                <w:rFonts w:ascii="Arial Narrow" w:hAnsi="Arial Narrow"/>
                <w:color w:val="231F20"/>
                <w:sz w:val="24"/>
                <w:szCs w:val="24"/>
              </w:rPr>
              <w:t>10' by 20' (200 sq. ft.)</w:t>
            </w:r>
          </w:p>
        </w:tc>
        <w:tc>
          <w:tcPr>
            <w:tcW w:w="2287" w:type="dxa"/>
            <w:tcBorders>
              <w:top w:val="single" w:sz="8" w:space="0" w:color="6D6E71"/>
              <w:left w:val="single" w:sz="8" w:space="0" w:color="6D6E71"/>
              <w:bottom w:val="single" w:sz="8" w:space="0" w:color="6D6E71"/>
            </w:tcBorders>
          </w:tcPr>
          <w:p w14:paraId="6322247C" w14:textId="77777777" w:rsidR="00BF5641" w:rsidRPr="00085527" w:rsidRDefault="00BF5641" w:rsidP="0017238B">
            <w:pPr>
              <w:pStyle w:val="TableParagraph"/>
              <w:ind w:left="222"/>
              <w:rPr>
                <w:rFonts w:ascii="Arial Narrow" w:hAnsi="Arial Narrow"/>
                <w:sz w:val="24"/>
                <w:szCs w:val="24"/>
              </w:rPr>
            </w:pPr>
            <w:r w:rsidRPr="00085527">
              <w:rPr>
                <w:rFonts w:ascii="Arial Narrow" w:hAnsi="Arial Narrow"/>
                <w:color w:val="231F20"/>
                <w:w w:val="105"/>
                <w:sz w:val="24"/>
                <w:szCs w:val="24"/>
              </w:rPr>
              <w:t>$2,400</w:t>
            </w:r>
          </w:p>
        </w:tc>
      </w:tr>
      <w:tr w:rsidR="00BF5641" w:rsidRPr="00085527" w14:paraId="386B52B3" w14:textId="77777777" w:rsidTr="0017238B">
        <w:trPr>
          <w:trHeight w:hRule="exact" w:val="288"/>
        </w:trPr>
        <w:tc>
          <w:tcPr>
            <w:tcW w:w="2287" w:type="dxa"/>
            <w:tcBorders>
              <w:top w:val="single" w:sz="8" w:space="0" w:color="6D6E71"/>
              <w:bottom w:val="single" w:sz="8" w:space="0" w:color="6D6E71"/>
              <w:right w:val="single" w:sz="8" w:space="0" w:color="6D6E71"/>
            </w:tcBorders>
          </w:tcPr>
          <w:p w14:paraId="0901F11A" w14:textId="77777777" w:rsidR="00BF5641" w:rsidRPr="00085527" w:rsidRDefault="00BF5641" w:rsidP="0017238B">
            <w:pPr>
              <w:pStyle w:val="TableParagraph"/>
              <w:rPr>
                <w:rFonts w:ascii="Arial Narrow" w:hAnsi="Arial Narrow"/>
                <w:sz w:val="24"/>
                <w:szCs w:val="24"/>
              </w:rPr>
            </w:pPr>
            <w:r w:rsidRPr="00085527">
              <w:rPr>
                <w:rFonts w:ascii="Arial Narrow" w:hAnsi="Arial Narrow"/>
                <w:color w:val="231F20"/>
                <w:sz w:val="24"/>
                <w:szCs w:val="24"/>
              </w:rPr>
              <w:t>10' by 25' (250 sq. ft.)</w:t>
            </w:r>
          </w:p>
        </w:tc>
        <w:tc>
          <w:tcPr>
            <w:tcW w:w="2287" w:type="dxa"/>
            <w:tcBorders>
              <w:top w:val="single" w:sz="8" w:space="0" w:color="6D6E71"/>
              <w:left w:val="single" w:sz="8" w:space="0" w:color="6D6E71"/>
              <w:bottom w:val="single" w:sz="8" w:space="0" w:color="6D6E71"/>
            </w:tcBorders>
          </w:tcPr>
          <w:p w14:paraId="2A8B2DDD" w14:textId="77777777" w:rsidR="00BF5641" w:rsidRPr="00085527" w:rsidRDefault="00BF5641" w:rsidP="0017238B">
            <w:pPr>
              <w:pStyle w:val="TableParagraph"/>
              <w:ind w:left="222"/>
              <w:rPr>
                <w:rFonts w:ascii="Arial Narrow" w:hAnsi="Arial Narrow"/>
                <w:sz w:val="24"/>
                <w:szCs w:val="24"/>
              </w:rPr>
            </w:pPr>
            <w:r w:rsidRPr="00085527">
              <w:rPr>
                <w:rFonts w:ascii="Arial Narrow" w:hAnsi="Arial Narrow"/>
                <w:color w:val="231F20"/>
                <w:w w:val="105"/>
                <w:sz w:val="24"/>
                <w:szCs w:val="24"/>
              </w:rPr>
              <w:t>$3,000</w:t>
            </w:r>
          </w:p>
        </w:tc>
      </w:tr>
      <w:tr w:rsidR="00BF5641" w:rsidRPr="00085527" w14:paraId="6A49657B" w14:textId="77777777" w:rsidTr="0017238B">
        <w:trPr>
          <w:trHeight w:hRule="exact" w:val="288"/>
        </w:trPr>
        <w:tc>
          <w:tcPr>
            <w:tcW w:w="2287" w:type="dxa"/>
            <w:tcBorders>
              <w:top w:val="single" w:sz="8" w:space="0" w:color="6D6E71"/>
              <w:bottom w:val="single" w:sz="8" w:space="0" w:color="6D6E71"/>
              <w:right w:val="single" w:sz="8" w:space="0" w:color="6D6E71"/>
            </w:tcBorders>
          </w:tcPr>
          <w:p w14:paraId="08506796" w14:textId="77777777" w:rsidR="00BF5641" w:rsidRPr="00085527" w:rsidRDefault="00BF5641" w:rsidP="0017238B">
            <w:pPr>
              <w:pStyle w:val="TableParagraph"/>
              <w:rPr>
                <w:rFonts w:ascii="Arial Narrow" w:hAnsi="Arial Narrow"/>
                <w:sz w:val="24"/>
                <w:szCs w:val="24"/>
              </w:rPr>
            </w:pPr>
            <w:r w:rsidRPr="00085527">
              <w:rPr>
                <w:rFonts w:ascii="Arial Narrow" w:hAnsi="Arial Narrow"/>
                <w:color w:val="231F20"/>
                <w:sz w:val="24"/>
                <w:szCs w:val="24"/>
              </w:rPr>
              <w:t>10' by 30' (300 sq. ft.)</w:t>
            </w:r>
          </w:p>
        </w:tc>
        <w:tc>
          <w:tcPr>
            <w:tcW w:w="2287" w:type="dxa"/>
            <w:tcBorders>
              <w:top w:val="single" w:sz="8" w:space="0" w:color="6D6E71"/>
              <w:left w:val="single" w:sz="8" w:space="0" w:color="6D6E71"/>
              <w:bottom w:val="single" w:sz="8" w:space="0" w:color="6D6E71"/>
            </w:tcBorders>
          </w:tcPr>
          <w:p w14:paraId="0FA28EB5" w14:textId="77777777" w:rsidR="00BF5641" w:rsidRPr="00085527" w:rsidRDefault="00BF5641" w:rsidP="0017238B">
            <w:pPr>
              <w:pStyle w:val="TableParagraph"/>
              <w:ind w:left="222"/>
              <w:rPr>
                <w:rFonts w:ascii="Arial Narrow" w:hAnsi="Arial Narrow"/>
                <w:sz w:val="24"/>
                <w:szCs w:val="24"/>
              </w:rPr>
            </w:pPr>
            <w:r w:rsidRPr="00085527">
              <w:rPr>
                <w:rFonts w:ascii="Arial Narrow" w:hAnsi="Arial Narrow"/>
                <w:color w:val="231F20"/>
                <w:w w:val="105"/>
                <w:sz w:val="24"/>
                <w:szCs w:val="24"/>
              </w:rPr>
              <w:t>$3,600</w:t>
            </w:r>
          </w:p>
        </w:tc>
      </w:tr>
      <w:tr w:rsidR="00BF5641" w:rsidRPr="00085527" w14:paraId="1E8BB79E" w14:textId="77777777" w:rsidTr="0017238B">
        <w:trPr>
          <w:trHeight w:hRule="exact" w:val="288"/>
        </w:trPr>
        <w:tc>
          <w:tcPr>
            <w:tcW w:w="2287" w:type="dxa"/>
            <w:tcBorders>
              <w:top w:val="single" w:sz="8" w:space="0" w:color="6D6E71"/>
              <w:bottom w:val="single" w:sz="8" w:space="0" w:color="6D6E71"/>
              <w:right w:val="single" w:sz="8" w:space="0" w:color="6D6E71"/>
            </w:tcBorders>
          </w:tcPr>
          <w:p w14:paraId="1CC71493" w14:textId="77777777" w:rsidR="00BF5641" w:rsidRPr="00085527" w:rsidRDefault="00BF5641" w:rsidP="0017238B">
            <w:pPr>
              <w:pStyle w:val="TableParagraph"/>
              <w:rPr>
                <w:rFonts w:ascii="Arial Narrow" w:hAnsi="Arial Narrow"/>
                <w:sz w:val="24"/>
                <w:szCs w:val="24"/>
              </w:rPr>
            </w:pPr>
            <w:r w:rsidRPr="00085527">
              <w:rPr>
                <w:rFonts w:ascii="Arial Narrow" w:hAnsi="Arial Narrow"/>
                <w:color w:val="231F20"/>
                <w:sz w:val="24"/>
                <w:szCs w:val="24"/>
              </w:rPr>
              <w:t>10' by 40' (400 sq. ft.)</w:t>
            </w:r>
          </w:p>
        </w:tc>
        <w:tc>
          <w:tcPr>
            <w:tcW w:w="2287" w:type="dxa"/>
            <w:tcBorders>
              <w:top w:val="single" w:sz="8" w:space="0" w:color="6D6E71"/>
              <w:left w:val="single" w:sz="8" w:space="0" w:color="6D6E71"/>
              <w:bottom w:val="single" w:sz="8" w:space="0" w:color="6D6E71"/>
            </w:tcBorders>
          </w:tcPr>
          <w:p w14:paraId="1C6D0CAB" w14:textId="77777777" w:rsidR="00BF5641" w:rsidRPr="00085527" w:rsidRDefault="00BF5641" w:rsidP="0017238B">
            <w:pPr>
              <w:pStyle w:val="TableParagraph"/>
              <w:ind w:left="222"/>
              <w:rPr>
                <w:rFonts w:ascii="Arial Narrow" w:hAnsi="Arial Narrow"/>
                <w:sz w:val="24"/>
                <w:szCs w:val="24"/>
              </w:rPr>
            </w:pPr>
            <w:r w:rsidRPr="00085527">
              <w:rPr>
                <w:rFonts w:ascii="Arial Narrow" w:hAnsi="Arial Narrow"/>
                <w:color w:val="231F20"/>
                <w:w w:val="105"/>
                <w:sz w:val="24"/>
                <w:szCs w:val="24"/>
              </w:rPr>
              <w:t>$4,800</w:t>
            </w:r>
          </w:p>
        </w:tc>
      </w:tr>
      <w:tr w:rsidR="00BF5641" w:rsidRPr="00085527" w14:paraId="5817B749" w14:textId="77777777" w:rsidTr="0017238B">
        <w:trPr>
          <w:trHeight w:hRule="exact" w:val="288"/>
        </w:trPr>
        <w:tc>
          <w:tcPr>
            <w:tcW w:w="2287" w:type="dxa"/>
            <w:tcBorders>
              <w:top w:val="single" w:sz="8" w:space="0" w:color="6D6E71"/>
              <w:bottom w:val="single" w:sz="8" w:space="0" w:color="6D6E71"/>
              <w:right w:val="single" w:sz="8" w:space="0" w:color="6D6E71"/>
            </w:tcBorders>
          </w:tcPr>
          <w:p w14:paraId="710FE46A" w14:textId="77777777" w:rsidR="00BF5641" w:rsidRPr="00085527" w:rsidRDefault="00BF5641" w:rsidP="0017238B">
            <w:pPr>
              <w:pStyle w:val="TableParagraph"/>
              <w:rPr>
                <w:rFonts w:ascii="Arial Narrow" w:hAnsi="Arial Narrow"/>
                <w:sz w:val="24"/>
                <w:szCs w:val="24"/>
              </w:rPr>
            </w:pPr>
            <w:r w:rsidRPr="00085527">
              <w:rPr>
                <w:rFonts w:ascii="Arial Narrow" w:hAnsi="Arial Narrow"/>
                <w:color w:val="231F20"/>
                <w:sz w:val="24"/>
                <w:szCs w:val="24"/>
              </w:rPr>
              <w:t>15' by 20' (300 sq. ft.)</w:t>
            </w:r>
          </w:p>
        </w:tc>
        <w:tc>
          <w:tcPr>
            <w:tcW w:w="2287" w:type="dxa"/>
            <w:tcBorders>
              <w:top w:val="single" w:sz="8" w:space="0" w:color="6D6E71"/>
              <w:left w:val="single" w:sz="8" w:space="0" w:color="6D6E71"/>
              <w:bottom w:val="single" w:sz="8" w:space="0" w:color="6D6E71"/>
            </w:tcBorders>
          </w:tcPr>
          <w:p w14:paraId="09BAA34F" w14:textId="77777777" w:rsidR="00BF5641" w:rsidRPr="00085527" w:rsidRDefault="00BF5641" w:rsidP="0017238B">
            <w:pPr>
              <w:pStyle w:val="TableParagraph"/>
              <w:ind w:left="222"/>
              <w:rPr>
                <w:rFonts w:ascii="Arial Narrow" w:hAnsi="Arial Narrow"/>
                <w:sz w:val="24"/>
                <w:szCs w:val="24"/>
              </w:rPr>
            </w:pPr>
            <w:r w:rsidRPr="00085527">
              <w:rPr>
                <w:rFonts w:ascii="Arial Narrow" w:hAnsi="Arial Narrow"/>
                <w:color w:val="231F20"/>
                <w:w w:val="105"/>
                <w:sz w:val="24"/>
                <w:szCs w:val="24"/>
              </w:rPr>
              <w:t>$3,600</w:t>
            </w:r>
          </w:p>
        </w:tc>
      </w:tr>
      <w:tr w:rsidR="00BF5641" w:rsidRPr="00085527" w14:paraId="3E4CCEB7" w14:textId="77777777" w:rsidTr="0017238B">
        <w:trPr>
          <w:trHeight w:hRule="exact" w:val="288"/>
        </w:trPr>
        <w:tc>
          <w:tcPr>
            <w:tcW w:w="2287" w:type="dxa"/>
            <w:tcBorders>
              <w:top w:val="single" w:sz="8" w:space="0" w:color="6D6E71"/>
              <w:bottom w:val="single" w:sz="8" w:space="0" w:color="6D6E71"/>
              <w:right w:val="single" w:sz="8" w:space="0" w:color="6D6E71"/>
            </w:tcBorders>
          </w:tcPr>
          <w:p w14:paraId="20DF3E18" w14:textId="77777777" w:rsidR="00BF5641" w:rsidRPr="00085527" w:rsidRDefault="00BF5641" w:rsidP="0017238B">
            <w:pPr>
              <w:pStyle w:val="TableParagraph"/>
              <w:rPr>
                <w:rFonts w:ascii="Arial Narrow" w:hAnsi="Arial Narrow"/>
                <w:sz w:val="24"/>
                <w:szCs w:val="24"/>
              </w:rPr>
            </w:pPr>
            <w:r w:rsidRPr="00085527">
              <w:rPr>
                <w:rFonts w:ascii="Arial Narrow" w:hAnsi="Arial Narrow"/>
                <w:color w:val="231F20"/>
                <w:sz w:val="24"/>
                <w:szCs w:val="24"/>
              </w:rPr>
              <w:t>15' by 30' (450 sq. ft.)</w:t>
            </w:r>
          </w:p>
        </w:tc>
        <w:tc>
          <w:tcPr>
            <w:tcW w:w="2287" w:type="dxa"/>
            <w:tcBorders>
              <w:top w:val="single" w:sz="8" w:space="0" w:color="6D6E71"/>
              <w:left w:val="single" w:sz="8" w:space="0" w:color="6D6E71"/>
              <w:bottom w:val="single" w:sz="8" w:space="0" w:color="6D6E71"/>
            </w:tcBorders>
          </w:tcPr>
          <w:p w14:paraId="2F5DD8A4" w14:textId="77777777" w:rsidR="00BF5641" w:rsidRPr="00085527" w:rsidRDefault="00BF5641" w:rsidP="0017238B">
            <w:pPr>
              <w:pStyle w:val="TableParagraph"/>
              <w:ind w:left="222"/>
              <w:rPr>
                <w:rFonts w:ascii="Arial Narrow" w:hAnsi="Arial Narrow"/>
                <w:sz w:val="24"/>
                <w:szCs w:val="24"/>
              </w:rPr>
            </w:pPr>
            <w:r w:rsidRPr="00085527">
              <w:rPr>
                <w:rFonts w:ascii="Arial Narrow" w:hAnsi="Arial Narrow"/>
                <w:color w:val="231F20"/>
                <w:w w:val="105"/>
                <w:sz w:val="24"/>
                <w:szCs w:val="24"/>
              </w:rPr>
              <w:t>$5,400</w:t>
            </w:r>
          </w:p>
        </w:tc>
      </w:tr>
      <w:tr w:rsidR="00BF5641" w:rsidRPr="00085527" w14:paraId="54C76140" w14:textId="77777777" w:rsidTr="0017238B">
        <w:trPr>
          <w:trHeight w:hRule="exact" w:val="288"/>
        </w:trPr>
        <w:tc>
          <w:tcPr>
            <w:tcW w:w="2287" w:type="dxa"/>
            <w:tcBorders>
              <w:top w:val="single" w:sz="8" w:space="0" w:color="6D6E71"/>
              <w:right w:val="single" w:sz="8" w:space="0" w:color="6D6E71"/>
            </w:tcBorders>
          </w:tcPr>
          <w:p w14:paraId="23A312BB" w14:textId="77777777" w:rsidR="00BF5641" w:rsidRPr="00085527" w:rsidRDefault="00BF5641" w:rsidP="0017238B">
            <w:pPr>
              <w:pStyle w:val="TableParagraph"/>
              <w:rPr>
                <w:rFonts w:ascii="Arial Narrow" w:hAnsi="Arial Narrow"/>
                <w:sz w:val="24"/>
                <w:szCs w:val="24"/>
              </w:rPr>
            </w:pPr>
            <w:r w:rsidRPr="00085527">
              <w:rPr>
                <w:rFonts w:ascii="Arial Narrow" w:hAnsi="Arial Narrow"/>
                <w:color w:val="231F20"/>
                <w:sz w:val="24"/>
                <w:szCs w:val="24"/>
              </w:rPr>
              <w:t>20' by 40' (800 sq. ft.)</w:t>
            </w:r>
          </w:p>
        </w:tc>
        <w:tc>
          <w:tcPr>
            <w:tcW w:w="2287" w:type="dxa"/>
            <w:tcBorders>
              <w:top w:val="single" w:sz="8" w:space="0" w:color="6D6E71"/>
              <w:left w:val="single" w:sz="8" w:space="0" w:color="6D6E71"/>
            </w:tcBorders>
          </w:tcPr>
          <w:p w14:paraId="42125804" w14:textId="77777777" w:rsidR="00BF5641" w:rsidRPr="00085527" w:rsidRDefault="00BF5641" w:rsidP="0017238B">
            <w:pPr>
              <w:pStyle w:val="TableParagraph"/>
              <w:ind w:left="222"/>
              <w:rPr>
                <w:rFonts w:ascii="Arial Narrow" w:hAnsi="Arial Narrow"/>
                <w:sz w:val="24"/>
                <w:szCs w:val="24"/>
              </w:rPr>
            </w:pPr>
            <w:r w:rsidRPr="00085527">
              <w:rPr>
                <w:rFonts w:ascii="Arial Narrow" w:hAnsi="Arial Narrow"/>
                <w:color w:val="231F20"/>
                <w:w w:val="105"/>
                <w:sz w:val="24"/>
                <w:szCs w:val="24"/>
              </w:rPr>
              <w:t>$9,600</w:t>
            </w:r>
          </w:p>
        </w:tc>
      </w:tr>
    </w:tbl>
    <w:p w14:paraId="2E98999B" w14:textId="77777777" w:rsidR="00BF0B06" w:rsidRPr="000E7836" w:rsidRDefault="00BF0B06" w:rsidP="00747F83">
      <w:pPr>
        <w:rPr>
          <w:rFonts w:ascii="Arial Narrow" w:hAnsi="Arial Narrow" w:cs="Arial"/>
          <w:sz w:val="20"/>
          <w:szCs w:val="20"/>
        </w:rPr>
      </w:pPr>
    </w:p>
    <w:p w14:paraId="2F4995E4" w14:textId="77777777" w:rsidR="00747F83" w:rsidRPr="000E7836" w:rsidRDefault="00747F83" w:rsidP="00747F83">
      <w:pPr>
        <w:rPr>
          <w:rFonts w:ascii="Arial Narrow" w:hAnsi="Arial Narrow" w:cs="Arial"/>
          <w:sz w:val="20"/>
          <w:szCs w:val="20"/>
        </w:rPr>
      </w:pPr>
    </w:p>
    <w:p w14:paraId="15351BD0" w14:textId="3782F5ED" w:rsidR="00BF0B06" w:rsidRPr="000E7836" w:rsidRDefault="00747F83" w:rsidP="000E7836">
      <w:pPr>
        <w:rPr>
          <w:rFonts w:ascii="Arial Narrow" w:hAnsi="Arial Narrow" w:cs="Arial"/>
        </w:rPr>
      </w:pPr>
      <w:r w:rsidRPr="00085527">
        <w:rPr>
          <w:rFonts w:ascii="Arial Narrow" w:hAnsi="Arial Narrow" w:cs="Arial"/>
        </w:rPr>
        <w:lastRenderedPageBreak/>
        <w:t>Move costs for vehicles, trailers, etc., not connected to utilities shall be based on the following schedule:</w:t>
      </w:r>
    </w:p>
    <w:p w14:paraId="3178B53C" w14:textId="4D81A1BD" w:rsidR="00747F83" w:rsidRPr="00085527" w:rsidRDefault="00747F83" w:rsidP="000E7836">
      <w:pPr>
        <w:pStyle w:val="ListParagraph"/>
        <w:numPr>
          <w:ilvl w:val="0"/>
          <w:numId w:val="2"/>
        </w:numPr>
        <w:rPr>
          <w:rFonts w:ascii="Arial Narrow" w:hAnsi="Arial Narrow" w:cs="Arial"/>
        </w:rPr>
      </w:pPr>
      <w:r w:rsidRPr="00085527">
        <w:rPr>
          <w:rFonts w:ascii="Arial Narrow" w:hAnsi="Arial Narrow" w:cs="Arial"/>
        </w:rPr>
        <w:t>Operatio</w:t>
      </w:r>
      <w:r w:rsidR="00BF5641" w:rsidRPr="00085527">
        <w:rPr>
          <w:rFonts w:ascii="Arial Narrow" w:hAnsi="Arial Narrow" w:cs="Arial"/>
        </w:rPr>
        <w:t>nal vehicles and motor homes $50</w:t>
      </w:r>
      <w:r w:rsidRPr="00085527">
        <w:rPr>
          <w:rFonts w:ascii="Arial Narrow" w:hAnsi="Arial Narrow" w:cs="Arial"/>
        </w:rPr>
        <w:t>.00</w:t>
      </w:r>
      <w:r w:rsidR="003D3497" w:rsidRPr="00085527">
        <w:rPr>
          <w:rFonts w:ascii="Arial Narrow" w:hAnsi="Arial Narrow" w:cs="Arial"/>
        </w:rPr>
        <w:t xml:space="preserve"> </w:t>
      </w:r>
      <w:r w:rsidRPr="00085527">
        <w:rPr>
          <w:rFonts w:ascii="Arial Narrow" w:hAnsi="Arial Narrow" w:cs="Arial"/>
        </w:rPr>
        <w:t>each.</w:t>
      </w:r>
    </w:p>
    <w:p w14:paraId="7ECD7AE3" w14:textId="5358500B" w:rsidR="00747F83" w:rsidRPr="00085527" w:rsidRDefault="00747F83" w:rsidP="000E7836">
      <w:pPr>
        <w:pStyle w:val="ListParagraph"/>
        <w:numPr>
          <w:ilvl w:val="0"/>
          <w:numId w:val="2"/>
        </w:numPr>
        <w:rPr>
          <w:rFonts w:ascii="Arial Narrow" w:hAnsi="Arial Narrow" w:cs="Arial"/>
        </w:rPr>
      </w:pPr>
      <w:r w:rsidRPr="00085527">
        <w:rPr>
          <w:rFonts w:ascii="Arial Narrow" w:hAnsi="Arial Narrow" w:cs="Arial"/>
        </w:rPr>
        <w:t>Boats w/trailers, utility trailers, car trailers, travel trailers, and fifth-wheel</w:t>
      </w:r>
      <w:r w:rsidR="00BF5641" w:rsidRPr="00085527">
        <w:rPr>
          <w:rFonts w:ascii="Arial Narrow" w:hAnsi="Arial Narrow" w:cs="Arial"/>
        </w:rPr>
        <w:t xml:space="preserve"> trailers $200</w:t>
      </w:r>
      <w:r w:rsidRPr="00085527">
        <w:rPr>
          <w:rFonts w:ascii="Arial Narrow" w:hAnsi="Arial Narrow" w:cs="Arial"/>
        </w:rPr>
        <w:t>.00</w:t>
      </w:r>
      <w:r w:rsidR="003D3497" w:rsidRPr="00085527">
        <w:rPr>
          <w:rFonts w:ascii="Arial Narrow" w:hAnsi="Arial Narrow" w:cs="Arial"/>
        </w:rPr>
        <w:t xml:space="preserve"> </w:t>
      </w:r>
      <w:r w:rsidRPr="00085527">
        <w:rPr>
          <w:rFonts w:ascii="Arial Narrow" w:hAnsi="Arial Narrow" w:cs="Arial"/>
        </w:rPr>
        <w:t>each.</w:t>
      </w:r>
    </w:p>
    <w:p w14:paraId="2BF04A3B" w14:textId="6E7EF0D0" w:rsidR="00747F83" w:rsidRPr="00085527" w:rsidRDefault="00747F83" w:rsidP="000E7836">
      <w:pPr>
        <w:pStyle w:val="ListParagraph"/>
        <w:numPr>
          <w:ilvl w:val="0"/>
          <w:numId w:val="2"/>
        </w:numPr>
        <w:rPr>
          <w:rFonts w:ascii="Arial Narrow" w:hAnsi="Arial Narrow" w:cs="Arial"/>
        </w:rPr>
      </w:pPr>
      <w:r w:rsidRPr="00085527">
        <w:rPr>
          <w:rFonts w:ascii="Arial Narrow" w:hAnsi="Arial Narrow" w:cs="Arial"/>
        </w:rPr>
        <w:t>Non-operating vehicles and smaller moto</w:t>
      </w:r>
      <w:r w:rsidR="00BF5641" w:rsidRPr="00085527">
        <w:rPr>
          <w:rFonts w:ascii="Arial Narrow" w:hAnsi="Arial Narrow" w:cs="Arial"/>
        </w:rPr>
        <w:t>r homes that require towing $200</w:t>
      </w:r>
      <w:r w:rsidRPr="00085527">
        <w:rPr>
          <w:rFonts w:ascii="Arial Narrow" w:hAnsi="Arial Narrow" w:cs="Arial"/>
        </w:rPr>
        <w:t>.00 each.</w:t>
      </w:r>
    </w:p>
    <w:p w14:paraId="3C5C8556" w14:textId="0C610104" w:rsidR="00747F83" w:rsidRPr="00085527" w:rsidRDefault="00747F83" w:rsidP="000E7836">
      <w:pPr>
        <w:pStyle w:val="ListParagraph"/>
        <w:numPr>
          <w:ilvl w:val="0"/>
          <w:numId w:val="2"/>
        </w:numPr>
        <w:rPr>
          <w:rFonts w:ascii="Arial Narrow" w:hAnsi="Arial Narrow" w:cs="Arial"/>
        </w:rPr>
      </w:pPr>
      <w:r w:rsidRPr="00085527">
        <w:rPr>
          <w:rFonts w:ascii="Arial Narrow" w:hAnsi="Arial Narrow" w:cs="Arial"/>
        </w:rPr>
        <w:t>Non-operatin</w:t>
      </w:r>
      <w:r w:rsidR="00400124" w:rsidRPr="00085527">
        <w:rPr>
          <w:rFonts w:ascii="Arial Narrow" w:hAnsi="Arial Narrow" w:cs="Arial"/>
        </w:rPr>
        <w:t xml:space="preserve">g trucks and larger motor homes </w:t>
      </w:r>
      <w:r w:rsidR="00BF5641" w:rsidRPr="00085527">
        <w:rPr>
          <w:rFonts w:ascii="Arial Narrow" w:hAnsi="Arial Narrow" w:cs="Arial"/>
        </w:rPr>
        <w:t>that require towing $200</w:t>
      </w:r>
      <w:r w:rsidRPr="00085527">
        <w:rPr>
          <w:rFonts w:ascii="Arial Narrow" w:hAnsi="Arial Narrow" w:cs="Arial"/>
        </w:rPr>
        <w:t>.00 each.</w:t>
      </w:r>
    </w:p>
    <w:p w14:paraId="44740E28" w14:textId="77777777" w:rsidR="00400124" w:rsidRPr="000E7836" w:rsidRDefault="00400124" w:rsidP="00747F83">
      <w:pPr>
        <w:rPr>
          <w:rFonts w:ascii="Arial Narrow" w:hAnsi="Arial Narrow" w:cs="Arial"/>
          <w:sz w:val="20"/>
          <w:szCs w:val="20"/>
        </w:rPr>
      </w:pPr>
    </w:p>
    <w:p w14:paraId="334FED2C" w14:textId="1E049507" w:rsidR="00747F83" w:rsidRPr="00085527" w:rsidRDefault="00747F83" w:rsidP="00747F83">
      <w:pPr>
        <w:rPr>
          <w:rFonts w:ascii="Arial Narrow" w:hAnsi="Arial Narrow" w:cs="Arial"/>
        </w:rPr>
      </w:pPr>
      <w:r w:rsidRPr="00085527">
        <w:rPr>
          <w:rFonts w:ascii="Arial Narrow" w:hAnsi="Arial Narrow" w:cs="Arial"/>
        </w:rPr>
        <w:t>A dislocatio</w:t>
      </w:r>
      <w:r w:rsidR="00BF5641" w:rsidRPr="00085527">
        <w:rPr>
          <w:rFonts w:ascii="Arial Narrow" w:hAnsi="Arial Narrow" w:cs="Arial"/>
        </w:rPr>
        <w:t>n allowance in the amount of $50</w:t>
      </w:r>
      <w:r w:rsidRPr="00085527">
        <w:rPr>
          <w:rFonts w:ascii="Arial Narrow" w:hAnsi="Arial Narrow" w:cs="Arial"/>
        </w:rPr>
        <w:t>.00 shall be paid to each person or business that rents a mailbox in a commercial mailbox operation.</w:t>
      </w:r>
    </w:p>
    <w:p w14:paraId="1C4A8641" w14:textId="77777777" w:rsidR="00400124" w:rsidRPr="000E7836" w:rsidRDefault="00400124" w:rsidP="00747F83">
      <w:pPr>
        <w:rPr>
          <w:rFonts w:ascii="Arial Narrow" w:hAnsi="Arial Narrow" w:cs="Arial"/>
          <w:sz w:val="20"/>
          <w:szCs w:val="20"/>
        </w:rPr>
      </w:pPr>
    </w:p>
    <w:p w14:paraId="720D3A36" w14:textId="0DF808B9" w:rsidR="00747F83" w:rsidRPr="00085527" w:rsidRDefault="00747F83" w:rsidP="00747F83">
      <w:pPr>
        <w:rPr>
          <w:rFonts w:ascii="Arial Narrow" w:hAnsi="Arial Narrow" w:cs="Arial"/>
        </w:rPr>
      </w:pPr>
      <w:r w:rsidRPr="00085527">
        <w:rPr>
          <w:rFonts w:ascii="Arial Narrow" w:hAnsi="Arial Narrow" w:cs="Arial"/>
        </w:rPr>
        <w:t>Move costs for appliances shall</w:t>
      </w:r>
      <w:r w:rsidR="00BF5641" w:rsidRPr="00085527">
        <w:rPr>
          <w:rFonts w:ascii="Arial Narrow" w:hAnsi="Arial Narrow" w:cs="Arial"/>
        </w:rPr>
        <w:t xml:space="preserve"> be based on a fixed rate of $100</w:t>
      </w:r>
      <w:r w:rsidRPr="00085527">
        <w:rPr>
          <w:rFonts w:ascii="Arial Narrow" w:hAnsi="Arial Narrow" w:cs="Arial"/>
        </w:rPr>
        <w:t>.00 per appliance, which includes the cost to disconnect and reconnect.</w:t>
      </w:r>
    </w:p>
    <w:p w14:paraId="007F1837" w14:textId="77777777" w:rsidR="00400124" w:rsidRPr="000E7836" w:rsidRDefault="00400124" w:rsidP="00747F83">
      <w:pPr>
        <w:rPr>
          <w:rFonts w:ascii="Arial Narrow" w:hAnsi="Arial Narrow" w:cs="Arial"/>
          <w:sz w:val="20"/>
          <w:szCs w:val="20"/>
        </w:rPr>
      </w:pPr>
    </w:p>
    <w:p w14:paraId="26D0AD5B" w14:textId="77777777" w:rsidR="00747F83" w:rsidRPr="00085527" w:rsidRDefault="00747F83" w:rsidP="00747F83">
      <w:pPr>
        <w:rPr>
          <w:rFonts w:ascii="Arial Narrow" w:hAnsi="Arial Narrow" w:cs="Arial"/>
          <w:b/>
          <w:i/>
        </w:rPr>
      </w:pPr>
      <w:r w:rsidRPr="00085527">
        <w:rPr>
          <w:rFonts w:ascii="Arial Narrow" w:hAnsi="Arial Narrow" w:cs="Arial"/>
          <w:b/>
          <w:i/>
        </w:rPr>
        <w:t>Actual Cost Move Op</w:t>
      </w:r>
      <w:bookmarkStart w:id="0" w:name="_GoBack"/>
      <w:bookmarkEnd w:id="0"/>
      <w:r w:rsidRPr="00085527">
        <w:rPr>
          <w:rFonts w:ascii="Arial Narrow" w:hAnsi="Arial Narrow" w:cs="Arial"/>
          <w:b/>
          <w:i/>
        </w:rPr>
        <w:t>tion</w:t>
      </w:r>
    </w:p>
    <w:p w14:paraId="2E973874" w14:textId="7CC92D7F" w:rsidR="00400124" w:rsidRPr="000E7836" w:rsidRDefault="00400124" w:rsidP="00747F83">
      <w:pPr>
        <w:rPr>
          <w:rFonts w:ascii="Arial Narrow" w:hAnsi="Arial Narrow" w:cs="Arial"/>
          <w:sz w:val="20"/>
          <w:szCs w:val="20"/>
        </w:rPr>
      </w:pPr>
    </w:p>
    <w:p w14:paraId="4CE363E3" w14:textId="77777777" w:rsidR="000E7836" w:rsidRPr="000E7836" w:rsidRDefault="000E7836" w:rsidP="00747F83">
      <w:pPr>
        <w:rPr>
          <w:rFonts w:ascii="Arial Narrow" w:hAnsi="Arial Narrow" w:cs="Arial"/>
          <w:sz w:val="20"/>
          <w:szCs w:val="20"/>
        </w:rPr>
      </w:pPr>
    </w:p>
    <w:p w14:paraId="7A5D888D" w14:textId="129D50CF" w:rsidR="00747F83" w:rsidRPr="00085527" w:rsidRDefault="00747F83" w:rsidP="00747F83">
      <w:pPr>
        <w:rPr>
          <w:rFonts w:ascii="Arial Narrow" w:hAnsi="Arial Narrow" w:cs="Arial"/>
        </w:rPr>
      </w:pPr>
      <w:r w:rsidRPr="00085527">
        <w:rPr>
          <w:rFonts w:ascii="Arial Narrow" w:hAnsi="Arial Narrow" w:cs="Arial"/>
        </w:rPr>
        <w:t xml:space="preserve">Actual and reasonable costs to move your personal property are based on acceptable documentation of actual costs. Acceptable documentation includes receipts for payments, paid invoices, copies of payment documents, time sheets of people hired to perform the move, etc. If a question arises about the “reasonableness” of submitted costs, </w:t>
      </w:r>
      <w:r w:rsidR="00BF5641" w:rsidRPr="00085527">
        <w:rPr>
          <w:rFonts w:ascii="Arial Narrow" w:hAnsi="Arial Narrow" w:cs="Arial"/>
        </w:rPr>
        <w:t>the A</w:t>
      </w:r>
      <w:r w:rsidR="00EA2599" w:rsidRPr="00085527">
        <w:rPr>
          <w:rFonts w:ascii="Arial Narrow" w:hAnsi="Arial Narrow" w:cs="Arial"/>
        </w:rPr>
        <w:t xml:space="preserve">gency </w:t>
      </w:r>
      <w:r w:rsidRPr="00085527">
        <w:rPr>
          <w:rFonts w:ascii="Arial Narrow" w:hAnsi="Arial Narrow" w:cs="Arial"/>
        </w:rPr>
        <w:t>may obtain one or more bids or estimates from qualified movers to use as a standard to determine if costs are reasonable. Prior to the start of the move, a written and photo inventory of the personal property items to be moved must be completed.</w:t>
      </w:r>
    </w:p>
    <w:p w14:paraId="01B9294D" w14:textId="77777777" w:rsidR="00086128" w:rsidRPr="000E7836" w:rsidRDefault="00086128" w:rsidP="00747F83">
      <w:pPr>
        <w:rPr>
          <w:rFonts w:ascii="Arial Narrow" w:hAnsi="Arial Narrow" w:cs="Arial"/>
          <w:sz w:val="20"/>
          <w:szCs w:val="20"/>
        </w:rPr>
      </w:pPr>
    </w:p>
    <w:p w14:paraId="714C7993" w14:textId="1EC6DB82" w:rsidR="00747F83" w:rsidRPr="00085527" w:rsidRDefault="00747F83" w:rsidP="00747F83">
      <w:pPr>
        <w:rPr>
          <w:rFonts w:ascii="Arial Narrow" w:hAnsi="Arial Narrow" w:cs="Arial"/>
        </w:rPr>
      </w:pPr>
      <w:r w:rsidRPr="00085527">
        <w:rPr>
          <w:rFonts w:ascii="Arial Narrow" w:hAnsi="Arial Narrow" w:cs="Arial"/>
        </w:rPr>
        <w:t xml:space="preserve">Please do not move until you have signed a “Moving Expense Agreement.” You can jeopardize your right to receive relocation assistance entitlements unless you advise </w:t>
      </w:r>
      <w:r w:rsidR="00BF5641" w:rsidRPr="00085527">
        <w:rPr>
          <w:rFonts w:ascii="Arial Narrow" w:hAnsi="Arial Narrow" w:cs="Arial"/>
        </w:rPr>
        <w:t>the A</w:t>
      </w:r>
      <w:r w:rsidR="00EA2599" w:rsidRPr="00085527">
        <w:rPr>
          <w:rFonts w:ascii="Arial Narrow" w:hAnsi="Arial Narrow" w:cs="Arial"/>
        </w:rPr>
        <w:t xml:space="preserve">gency </w:t>
      </w:r>
      <w:r w:rsidRPr="00085527">
        <w:rPr>
          <w:rFonts w:ascii="Arial Narrow" w:hAnsi="Arial Narrow" w:cs="Arial"/>
        </w:rPr>
        <w:t>in advance of moving.</w:t>
      </w:r>
    </w:p>
    <w:p w14:paraId="1DE0F7A9" w14:textId="77777777" w:rsidR="00400124" w:rsidRPr="000E7836" w:rsidRDefault="00400124" w:rsidP="00747F83">
      <w:pPr>
        <w:rPr>
          <w:rFonts w:ascii="Arial Narrow" w:hAnsi="Arial Narrow" w:cs="Arial"/>
          <w:sz w:val="20"/>
          <w:szCs w:val="20"/>
        </w:rPr>
      </w:pPr>
    </w:p>
    <w:p w14:paraId="5A89E097" w14:textId="77777777" w:rsidR="00BF0B06" w:rsidRPr="000E7836" w:rsidRDefault="00BF0B06" w:rsidP="00747F83">
      <w:pPr>
        <w:rPr>
          <w:rFonts w:ascii="Arial Narrow" w:hAnsi="Arial Narrow" w:cs="Arial"/>
          <w:b/>
          <w:sz w:val="20"/>
          <w:szCs w:val="20"/>
        </w:rPr>
      </w:pPr>
    </w:p>
    <w:p w14:paraId="7679E4A8" w14:textId="77777777" w:rsidR="00747F83" w:rsidRPr="00644D76" w:rsidRDefault="00747F83" w:rsidP="00747F83">
      <w:pPr>
        <w:rPr>
          <w:rFonts w:ascii="Arial Narrow" w:hAnsi="Arial Narrow" w:cs="Arial"/>
          <w:b/>
          <w:sz w:val="28"/>
          <w:szCs w:val="28"/>
        </w:rPr>
      </w:pPr>
      <w:r w:rsidRPr="00644D76">
        <w:rPr>
          <w:rFonts w:ascii="Arial Narrow" w:hAnsi="Arial Narrow" w:cs="Arial"/>
          <w:b/>
          <w:sz w:val="28"/>
          <w:szCs w:val="28"/>
        </w:rPr>
        <w:t>Payment of Personal Property Only Entitlements</w:t>
      </w:r>
    </w:p>
    <w:p w14:paraId="3D45FF23" w14:textId="77777777" w:rsidR="00400124" w:rsidRPr="000E7836" w:rsidRDefault="00400124" w:rsidP="00747F83">
      <w:pPr>
        <w:rPr>
          <w:rFonts w:ascii="Arial Narrow" w:hAnsi="Arial Narrow" w:cs="Arial"/>
          <w:sz w:val="20"/>
          <w:szCs w:val="20"/>
        </w:rPr>
      </w:pPr>
    </w:p>
    <w:p w14:paraId="4159B02A" w14:textId="77777777" w:rsidR="00747F83" w:rsidRPr="00085527" w:rsidRDefault="00747F83" w:rsidP="00747F83">
      <w:pPr>
        <w:rPr>
          <w:rFonts w:ascii="Arial Narrow" w:hAnsi="Arial Narrow" w:cs="Arial"/>
        </w:rPr>
      </w:pPr>
      <w:r w:rsidRPr="00085527">
        <w:rPr>
          <w:rFonts w:ascii="Arial Narrow" w:hAnsi="Arial Narrow" w:cs="Arial"/>
        </w:rPr>
        <w:t>Payment for move expenses will be paid upon documentation and verification that all personal property to be moved has been moved to an appropriate replacement location.</w:t>
      </w:r>
    </w:p>
    <w:p w14:paraId="28C81BEB" w14:textId="77777777" w:rsidR="00BF0B06" w:rsidRPr="000E7836" w:rsidRDefault="00BF0B06" w:rsidP="00747F83">
      <w:pPr>
        <w:rPr>
          <w:rFonts w:ascii="Arial Narrow" w:hAnsi="Arial Narrow" w:cs="Arial"/>
          <w:sz w:val="20"/>
          <w:szCs w:val="20"/>
        </w:rPr>
      </w:pPr>
    </w:p>
    <w:p w14:paraId="1BF7C920" w14:textId="77777777" w:rsidR="00BF0B06" w:rsidRPr="000E7836" w:rsidRDefault="00BF0B06" w:rsidP="00747F83">
      <w:pPr>
        <w:rPr>
          <w:rFonts w:ascii="Arial Narrow" w:hAnsi="Arial Narrow" w:cs="Arial"/>
          <w:b/>
          <w:sz w:val="20"/>
          <w:szCs w:val="20"/>
        </w:rPr>
      </w:pPr>
    </w:p>
    <w:p w14:paraId="0BEB91E4" w14:textId="559364BA" w:rsidR="00747F83" w:rsidRPr="00501B06" w:rsidRDefault="00747F83" w:rsidP="00747F83">
      <w:pPr>
        <w:rPr>
          <w:rFonts w:ascii="Arial Narrow" w:hAnsi="Arial Narrow" w:cs="Arial"/>
          <w:b/>
          <w:sz w:val="28"/>
          <w:szCs w:val="28"/>
        </w:rPr>
      </w:pPr>
      <w:r w:rsidRPr="00501B06">
        <w:rPr>
          <w:rFonts w:ascii="Arial Narrow" w:hAnsi="Arial Narrow" w:cs="Arial"/>
          <w:b/>
          <w:sz w:val="28"/>
          <w:szCs w:val="28"/>
        </w:rPr>
        <w:t>Right to Appeal a</w:t>
      </w:r>
      <w:r w:rsidR="00EA2599" w:rsidRPr="00501B06">
        <w:rPr>
          <w:rFonts w:ascii="Arial Narrow" w:hAnsi="Arial Narrow" w:cs="Arial"/>
          <w:b/>
          <w:sz w:val="28"/>
          <w:szCs w:val="28"/>
        </w:rPr>
        <w:t xml:space="preserve">n </w:t>
      </w:r>
      <w:r w:rsidR="00341C6C" w:rsidRPr="00501B06">
        <w:rPr>
          <w:rFonts w:ascii="Arial Narrow" w:hAnsi="Arial Narrow" w:cs="Arial"/>
          <w:b/>
          <w:sz w:val="28"/>
          <w:szCs w:val="28"/>
        </w:rPr>
        <w:t>A</w:t>
      </w:r>
      <w:r w:rsidR="00EA2599" w:rsidRPr="00501B06">
        <w:rPr>
          <w:rFonts w:ascii="Arial Narrow" w:hAnsi="Arial Narrow" w:cs="Arial"/>
          <w:b/>
          <w:sz w:val="28"/>
          <w:szCs w:val="28"/>
        </w:rPr>
        <w:t>gency</w:t>
      </w:r>
      <w:r w:rsidR="00086128" w:rsidRPr="00501B06">
        <w:rPr>
          <w:rFonts w:ascii="Arial Narrow" w:hAnsi="Arial Narrow" w:cs="Arial"/>
          <w:b/>
          <w:sz w:val="28"/>
          <w:szCs w:val="28"/>
        </w:rPr>
        <w:t xml:space="preserve"> </w:t>
      </w:r>
      <w:r w:rsidRPr="00501B06">
        <w:rPr>
          <w:rFonts w:ascii="Arial Narrow" w:hAnsi="Arial Narrow" w:cs="Arial"/>
          <w:b/>
          <w:sz w:val="28"/>
          <w:szCs w:val="28"/>
        </w:rPr>
        <w:t>Decision</w:t>
      </w:r>
    </w:p>
    <w:p w14:paraId="67489352" w14:textId="77777777" w:rsidR="00400124" w:rsidRPr="000E7836" w:rsidRDefault="00400124" w:rsidP="00747F83">
      <w:pPr>
        <w:rPr>
          <w:rFonts w:ascii="Arial Narrow" w:hAnsi="Arial Narrow" w:cs="Arial"/>
          <w:sz w:val="20"/>
          <w:szCs w:val="20"/>
        </w:rPr>
      </w:pPr>
    </w:p>
    <w:p w14:paraId="1AA3AD19" w14:textId="21B0EA71" w:rsidR="00644D76" w:rsidRPr="00501B06" w:rsidRDefault="000E7836" w:rsidP="00644D76">
      <w:pPr>
        <w:widowControl w:val="0"/>
        <w:tabs>
          <w:tab w:val="left" w:pos="720"/>
          <w:tab w:val="left" w:pos="5040"/>
          <w:tab w:val="left" w:pos="5760"/>
        </w:tabs>
        <w:spacing w:line="280" w:lineRule="atLeast"/>
        <w:jc w:val="both"/>
        <w:rPr>
          <w:rFonts w:ascii="Arial Narrow" w:hAnsi="Arial Narrow"/>
        </w:rPr>
      </w:pPr>
      <w:r>
        <w:rPr>
          <w:rFonts w:ascii="Arial Narrow" w:hAnsi="Arial Narrow"/>
          <w:highlight w:val="darkGray"/>
        </w:rPr>
        <w:fldChar w:fldCharType="begin">
          <w:ffData>
            <w:name w:val=""/>
            <w:enabled/>
            <w:calcOnExit w:val="0"/>
            <w:textInput>
              <w:default w:val="INSERT AGENCY APPEAL PROCEDURE"/>
              <w:format w:val="UPPERCASE"/>
            </w:textInput>
          </w:ffData>
        </w:fldChar>
      </w:r>
      <w:r>
        <w:rPr>
          <w:rFonts w:ascii="Arial Narrow" w:hAnsi="Arial Narrow"/>
          <w:highlight w:val="darkGray"/>
        </w:rPr>
        <w:instrText xml:space="preserve"> FORMTEXT </w:instrText>
      </w:r>
      <w:r>
        <w:rPr>
          <w:rFonts w:ascii="Arial Narrow" w:hAnsi="Arial Narrow"/>
          <w:highlight w:val="darkGray"/>
        </w:rPr>
      </w:r>
      <w:r>
        <w:rPr>
          <w:rFonts w:ascii="Arial Narrow" w:hAnsi="Arial Narrow"/>
          <w:highlight w:val="darkGray"/>
        </w:rPr>
        <w:fldChar w:fldCharType="separate"/>
      </w:r>
      <w:r>
        <w:rPr>
          <w:rFonts w:ascii="Arial Narrow" w:hAnsi="Arial Narrow"/>
          <w:noProof/>
          <w:highlight w:val="darkGray"/>
        </w:rPr>
        <w:t>INSERT AGENCY APPEAL PROCEDURE</w:t>
      </w:r>
      <w:r>
        <w:rPr>
          <w:rFonts w:ascii="Arial Narrow" w:hAnsi="Arial Narrow"/>
          <w:highlight w:val="darkGray"/>
        </w:rPr>
        <w:fldChar w:fldCharType="end"/>
      </w:r>
    </w:p>
    <w:p w14:paraId="4CF14B8C" w14:textId="4E05BEC6" w:rsidR="00086128" w:rsidRPr="000E7836" w:rsidRDefault="00086128" w:rsidP="001374C4">
      <w:pPr>
        <w:rPr>
          <w:rFonts w:ascii="Arial" w:hAnsi="Arial" w:cs="Arial"/>
          <w:b/>
          <w:sz w:val="20"/>
          <w:szCs w:val="20"/>
        </w:rPr>
      </w:pPr>
    </w:p>
    <w:p w14:paraId="4D74834D" w14:textId="77777777" w:rsidR="00501B06" w:rsidRPr="000E7836" w:rsidRDefault="00501B06" w:rsidP="001374C4">
      <w:pPr>
        <w:rPr>
          <w:rFonts w:ascii="Arial" w:hAnsi="Arial" w:cs="Arial"/>
          <w:b/>
          <w:sz w:val="20"/>
          <w:szCs w:val="20"/>
        </w:rPr>
      </w:pPr>
    </w:p>
    <w:p w14:paraId="0A8F7EC2" w14:textId="77777777" w:rsidR="001374C4" w:rsidRPr="00BF0B06" w:rsidRDefault="001374C4" w:rsidP="001374C4">
      <w:pPr>
        <w:rPr>
          <w:rFonts w:ascii="Arial" w:hAnsi="Arial" w:cs="Arial"/>
          <w:b/>
          <w:sz w:val="18"/>
          <w:szCs w:val="18"/>
        </w:rPr>
      </w:pPr>
      <w:r w:rsidRPr="00BF0B06">
        <w:rPr>
          <w:rFonts w:ascii="Arial" w:hAnsi="Arial" w:cs="Arial"/>
          <w:b/>
          <w:sz w:val="18"/>
          <w:szCs w:val="18"/>
        </w:rPr>
        <w:t>Title VI Statement to Public</w:t>
      </w:r>
    </w:p>
    <w:p w14:paraId="3DFE87D5" w14:textId="7B5D6325" w:rsidR="00747F83" w:rsidRPr="00BF0B06" w:rsidRDefault="001374C4" w:rsidP="00747F83">
      <w:pPr>
        <w:rPr>
          <w:rFonts w:ascii="Arial" w:hAnsi="Arial" w:cs="Arial"/>
          <w:sz w:val="18"/>
          <w:szCs w:val="18"/>
        </w:rPr>
      </w:pPr>
      <w:r w:rsidRPr="00BF0B06">
        <w:rPr>
          <w:rFonts w:ascii="Arial" w:hAnsi="Arial" w:cs="Arial"/>
          <w:sz w:val="18"/>
          <w:szCs w:val="18"/>
        </w:rPr>
        <w:t xml:space="preserve">It is the </w:t>
      </w:r>
      <w:r w:rsidR="00BF5641">
        <w:rPr>
          <w:rFonts w:ascii="Arial" w:hAnsi="Arial" w:cs="Arial"/>
          <w:sz w:val="18"/>
          <w:szCs w:val="18"/>
        </w:rPr>
        <w:t>A</w:t>
      </w:r>
      <w:r w:rsidR="00FB7F89">
        <w:rPr>
          <w:rFonts w:ascii="Arial" w:hAnsi="Arial" w:cs="Arial"/>
          <w:sz w:val="18"/>
          <w:szCs w:val="18"/>
        </w:rPr>
        <w:t xml:space="preserve">gency </w:t>
      </w:r>
      <w:r w:rsidRPr="00BF0B06">
        <w:rPr>
          <w:rFonts w:ascii="Arial" w:hAnsi="Arial" w:cs="Arial"/>
          <w:sz w:val="18"/>
          <w:szCs w:val="18"/>
        </w:rPr>
        <w:t xml:space="preserve">policy to assure that no person shall, on the grounds of race, color, national origin or sex, as provided by Title VI of the Civil Rights Act of 1964, be excluded from participation in, be denied the benefits of, or be otherwise discriminated against under any of its federally funded programs and activities. </w:t>
      </w:r>
    </w:p>
    <w:sectPr w:rsidR="00747F83" w:rsidRPr="00BF0B06" w:rsidSect="003808E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43735" w14:textId="77777777" w:rsidR="0085466A" w:rsidRDefault="0085466A" w:rsidP="00085527">
      <w:r>
        <w:separator/>
      </w:r>
    </w:p>
  </w:endnote>
  <w:endnote w:type="continuationSeparator" w:id="0">
    <w:p w14:paraId="691363D3" w14:textId="77777777" w:rsidR="0085466A" w:rsidRDefault="0085466A" w:rsidP="0008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 Std Med">
    <w:altName w:val="Arial"/>
    <w:charset w:val="00"/>
    <w:family w:val="auto"/>
    <w:pitch w:val="variable"/>
    <w:sig w:usb0="00000003" w:usb1="4000204A" w:usb2="00000000" w:usb3="00000000" w:csb0="00000001" w:csb1="00000000"/>
  </w:font>
  <w:font w:name="HelveticaNeueLT Std">
    <w:altName w:val="Arial"/>
    <w:charset w:val="00"/>
    <w:family w:val="auto"/>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5E08" w14:textId="739B5F8F" w:rsidR="00501B06" w:rsidRPr="00501B06" w:rsidRDefault="00501B06" w:rsidP="00501B06">
    <w:pPr>
      <w:pStyle w:val="Footer"/>
      <w:rPr>
        <w:rFonts w:ascii="Arial Narrow" w:hAnsi="Arial Narrow" w:cs="Times New Roman"/>
        <w:sz w:val="16"/>
        <w:szCs w:val="16"/>
      </w:rPr>
    </w:pPr>
    <w:r w:rsidRPr="00501B06">
      <w:rPr>
        <w:rFonts w:ascii="Arial Narrow" w:hAnsi="Arial Narrow" w:cs="Times New Roman"/>
        <w:sz w:val="16"/>
        <w:szCs w:val="16"/>
      </w:rPr>
      <w:t>LPA-PPO Relocation Brochure</w:t>
    </w:r>
  </w:p>
  <w:p w14:paraId="2BC0742A" w14:textId="057BB7CC" w:rsidR="00501B06" w:rsidRPr="000E7836" w:rsidRDefault="000E7836" w:rsidP="000E7836">
    <w:pPr>
      <w:pStyle w:val="Footer"/>
      <w:rPr>
        <w:rFonts w:ascii="Arial Narrow" w:hAnsi="Arial Narrow" w:cs="Times New Roman"/>
        <w:sz w:val="16"/>
        <w:szCs w:val="16"/>
      </w:rPr>
    </w:pPr>
    <w:r>
      <w:rPr>
        <w:rFonts w:ascii="Arial Narrow" w:hAnsi="Arial Narrow" w:cs="Times New Roman"/>
        <w:sz w:val="16"/>
        <w:szCs w:val="16"/>
      </w:rPr>
      <w:t>Rev. 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8CC6B" w14:textId="77777777" w:rsidR="00501B06" w:rsidRPr="00501B06" w:rsidRDefault="00501B06">
    <w:pPr>
      <w:pStyle w:val="Footer"/>
      <w:rPr>
        <w:rFonts w:ascii="Arial Narrow" w:hAnsi="Arial Narrow" w:cs="Times New Roman"/>
        <w:sz w:val="16"/>
        <w:szCs w:val="16"/>
      </w:rPr>
    </w:pPr>
    <w:r w:rsidRPr="00501B06">
      <w:rPr>
        <w:rFonts w:ascii="Arial Narrow" w:hAnsi="Arial Narrow" w:cs="Times New Roman"/>
        <w:sz w:val="16"/>
        <w:szCs w:val="16"/>
      </w:rPr>
      <w:t>LPA-PPO Relocation Brochure</w:t>
    </w:r>
  </w:p>
  <w:p w14:paraId="1181DF5B" w14:textId="43C1DA79" w:rsidR="00501B06" w:rsidRPr="00501B06" w:rsidRDefault="000E7836">
    <w:pPr>
      <w:pStyle w:val="Footer"/>
      <w:rPr>
        <w:rFonts w:ascii="Arial Narrow" w:hAnsi="Arial Narrow" w:cs="Times New Roman"/>
        <w:sz w:val="16"/>
        <w:szCs w:val="16"/>
      </w:rPr>
    </w:pPr>
    <w:r>
      <w:rPr>
        <w:rFonts w:ascii="Arial Narrow" w:hAnsi="Arial Narrow" w:cs="Times New Roman"/>
        <w:sz w:val="16"/>
        <w:szCs w:val="16"/>
      </w:rPr>
      <w:t>Rev. 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E38A5" w14:textId="77777777" w:rsidR="0085466A" w:rsidRDefault="0085466A" w:rsidP="00085527">
      <w:r>
        <w:separator/>
      </w:r>
    </w:p>
  </w:footnote>
  <w:footnote w:type="continuationSeparator" w:id="0">
    <w:p w14:paraId="3FEB6133" w14:textId="77777777" w:rsidR="0085466A" w:rsidRDefault="0085466A" w:rsidP="0008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BD9FE" w14:textId="77777777" w:rsidR="00085527" w:rsidRPr="0037212F" w:rsidRDefault="00085527" w:rsidP="00085527">
    <w:pPr>
      <w:pStyle w:val="Header"/>
      <w:rPr>
        <w:rFonts w:ascii="Times New Roman" w:hAnsi="Times New Roman"/>
        <w:b/>
        <w:color w:val="FF0000"/>
        <w:sz w:val="28"/>
      </w:rPr>
    </w:pPr>
    <w:r>
      <w:rPr>
        <w:rFonts w:ascii="Times New Roman" w:hAnsi="Times New Roman"/>
        <w:b/>
        <w:color w:val="FF0000"/>
        <w:sz w:val="28"/>
      </w:rPr>
      <w:t>P</w:t>
    </w:r>
    <w:r w:rsidRPr="0037212F">
      <w:rPr>
        <w:rFonts w:ascii="Times New Roman" w:hAnsi="Times New Roman"/>
        <w:b/>
        <w:color w:val="FF0000"/>
        <w:sz w:val="28"/>
      </w:rPr>
      <w:t xml:space="preserve">rint </w:t>
    </w:r>
    <w:r>
      <w:rPr>
        <w:rFonts w:ascii="Times New Roman" w:hAnsi="Times New Roman"/>
        <w:b/>
        <w:color w:val="FF0000"/>
        <w:sz w:val="28"/>
      </w:rPr>
      <w:t xml:space="preserve">First Page of Brochure </w:t>
    </w:r>
    <w:r w:rsidRPr="0037212F">
      <w:rPr>
        <w:rFonts w:ascii="Times New Roman" w:hAnsi="Times New Roman"/>
        <w:b/>
        <w:color w:val="FF0000"/>
        <w:sz w:val="28"/>
      </w:rPr>
      <w:t>on Agency Letterhead</w:t>
    </w:r>
  </w:p>
  <w:p w14:paraId="5D7B593A" w14:textId="77777777" w:rsidR="00085527" w:rsidRDefault="00085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2C70"/>
    <w:multiLevelType w:val="hybridMultilevel"/>
    <w:tmpl w:val="DCCE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C2D06"/>
    <w:multiLevelType w:val="hybridMultilevel"/>
    <w:tmpl w:val="FE76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3"/>
    <w:rsid w:val="00085527"/>
    <w:rsid w:val="00086128"/>
    <w:rsid w:val="000E7836"/>
    <w:rsid w:val="001374C4"/>
    <w:rsid w:val="001C0313"/>
    <w:rsid w:val="00220663"/>
    <w:rsid w:val="003066FA"/>
    <w:rsid w:val="00341C6C"/>
    <w:rsid w:val="003808E8"/>
    <w:rsid w:val="003D3497"/>
    <w:rsid w:val="00400124"/>
    <w:rsid w:val="004A5AF8"/>
    <w:rsid w:val="004C1D9D"/>
    <w:rsid w:val="00501B06"/>
    <w:rsid w:val="00644D76"/>
    <w:rsid w:val="006A3D26"/>
    <w:rsid w:val="00747F83"/>
    <w:rsid w:val="0085466A"/>
    <w:rsid w:val="00892C69"/>
    <w:rsid w:val="009729EB"/>
    <w:rsid w:val="009839F4"/>
    <w:rsid w:val="00B869DD"/>
    <w:rsid w:val="00BF0B06"/>
    <w:rsid w:val="00BF5641"/>
    <w:rsid w:val="00C96877"/>
    <w:rsid w:val="00E27E3F"/>
    <w:rsid w:val="00EA2599"/>
    <w:rsid w:val="00FB7F89"/>
    <w:rsid w:val="00FD62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577AF"/>
  <w15:docId w15:val="{C106F7B3-2146-4939-B5EC-756AF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F83"/>
    <w:rPr>
      <w:rFonts w:ascii="Lucida Grande" w:hAnsi="Lucida Grande" w:cs="Lucida Grande"/>
      <w:sz w:val="18"/>
      <w:szCs w:val="18"/>
    </w:rPr>
  </w:style>
  <w:style w:type="paragraph" w:customStyle="1" w:styleId="Default">
    <w:name w:val="Default"/>
    <w:rsid w:val="001374C4"/>
    <w:pPr>
      <w:widowControl w:val="0"/>
      <w:autoSpaceDE w:val="0"/>
      <w:autoSpaceDN w:val="0"/>
      <w:adjustRightInd w:val="0"/>
    </w:pPr>
    <w:rPr>
      <w:rFonts w:ascii="HelveticaNeueLT Std Med" w:hAnsi="HelveticaNeueLT Std Med" w:cs="HelveticaNeueLT Std Med"/>
      <w:color w:val="000000"/>
    </w:rPr>
  </w:style>
  <w:style w:type="paragraph" w:customStyle="1" w:styleId="Pa0">
    <w:name w:val="Pa0"/>
    <w:basedOn w:val="Default"/>
    <w:next w:val="Default"/>
    <w:uiPriority w:val="99"/>
    <w:rsid w:val="001374C4"/>
    <w:pPr>
      <w:spacing w:line="241" w:lineRule="atLeast"/>
    </w:pPr>
    <w:rPr>
      <w:rFonts w:cs="Times New Roman"/>
      <w:color w:val="auto"/>
    </w:rPr>
  </w:style>
  <w:style w:type="character" w:customStyle="1" w:styleId="A0">
    <w:name w:val="A0"/>
    <w:uiPriority w:val="99"/>
    <w:rsid w:val="001374C4"/>
    <w:rPr>
      <w:rFonts w:cs="HelveticaNeueLT Std Med"/>
      <w:b/>
      <w:bCs/>
      <w:color w:val="221E1F"/>
      <w:sz w:val="42"/>
      <w:szCs w:val="42"/>
    </w:rPr>
  </w:style>
  <w:style w:type="paragraph" w:styleId="ListParagraph">
    <w:name w:val="List Paragraph"/>
    <w:basedOn w:val="Normal"/>
    <w:uiPriority w:val="34"/>
    <w:qFormat/>
    <w:rsid w:val="00400124"/>
    <w:pPr>
      <w:ind w:left="720"/>
      <w:contextualSpacing/>
    </w:pPr>
  </w:style>
  <w:style w:type="paragraph" w:customStyle="1" w:styleId="Pa2">
    <w:name w:val="Pa2"/>
    <w:basedOn w:val="Default"/>
    <w:next w:val="Default"/>
    <w:uiPriority w:val="99"/>
    <w:rsid w:val="00BF0B06"/>
    <w:pPr>
      <w:spacing w:line="181" w:lineRule="atLeast"/>
    </w:pPr>
    <w:rPr>
      <w:rFonts w:ascii="HelveticaNeueLT Std" w:hAnsi="HelveticaNeueLT Std" w:cs="Times New Roman"/>
      <w:color w:val="auto"/>
    </w:rPr>
  </w:style>
  <w:style w:type="paragraph" w:customStyle="1" w:styleId="TableParagraph">
    <w:name w:val="Table Paragraph"/>
    <w:basedOn w:val="Normal"/>
    <w:uiPriority w:val="1"/>
    <w:qFormat/>
    <w:rsid w:val="00BF5641"/>
    <w:pPr>
      <w:widowControl w:val="0"/>
      <w:autoSpaceDE w:val="0"/>
      <w:autoSpaceDN w:val="0"/>
      <w:spacing w:before="26"/>
      <w:ind w:left="228" w:right="224"/>
      <w:jc w:val="center"/>
    </w:pPr>
    <w:rPr>
      <w:rFonts w:ascii="Tahoma" w:eastAsia="Tahoma" w:hAnsi="Tahoma" w:cs="Tahoma"/>
      <w:sz w:val="22"/>
      <w:szCs w:val="22"/>
    </w:rPr>
  </w:style>
  <w:style w:type="paragraph" w:styleId="Header">
    <w:name w:val="header"/>
    <w:basedOn w:val="Normal"/>
    <w:link w:val="HeaderChar"/>
    <w:unhideWhenUsed/>
    <w:rsid w:val="00085527"/>
    <w:pPr>
      <w:tabs>
        <w:tab w:val="center" w:pos="4680"/>
        <w:tab w:val="right" w:pos="9360"/>
      </w:tabs>
    </w:pPr>
  </w:style>
  <w:style w:type="character" w:customStyle="1" w:styleId="HeaderChar">
    <w:name w:val="Header Char"/>
    <w:basedOn w:val="DefaultParagraphFont"/>
    <w:link w:val="Header"/>
    <w:uiPriority w:val="99"/>
    <w:rsid w:val="00085527"/>
  </w:style>
  <w:style w:type="paragraph" w:styleId="Footer">
    <w:name w:val="footer"/>
    <w:basedOn w:val="Normal"/>
    <w:link w:val="FooterChar"/>
    <w:uiPriority w:val="99"/>
    <w:unhideWhenUsed/>
    <w:rsid w:val="00085527"/>
    <w:pPr>
      <w:tabs>
        <w:tab w:val="center" w:pos="4680"/>
        <w:tab w:val="right" w:pos="9360"/>
      </w:tabs>
    </w:pPr>
  </w:style>
  <w:style w:type="character" w:customStyle="1" w:styleId="FooterChar">
    <w:name w:val="Footer Char"/>
    <w:basedOn w:val="DefaultParagraphFont"/>
    <w:link w:val="Footer"/>
    <w:uiPriority w:val="99"/>
    <w:rsid w:val="0008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E922B46EC84E4E9E7086AEA3377B55" ma:contentTypeVersion="0" ma:contentTypeDescription="Create a new document." ma:contentTypeScope="" ma:versionID="fb2f3a1726bb68e729f14ba3772377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51691F-7EC9-4699-92B0-8C2E143A7096}">
  <ds:schemaRefs>
    <ds:schemaRef ds:uri="http://schemas.microsoft.com/sharepoint/v3/contenttype/forms"/>
  </ds:schemaRefs>
</ds:datastoreItem>
</file>

<file path=customXml/itemProps2.xml><?xml version="1.0" encoding="utf-8"?>
<ds:datastoreItem xmlns:ds="http://schemas.openxmlformats.org/officeDocument/2006/customXml" ds:itemID="{F9F507F6-0005-4889-8186-B0759FDF0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7BD817-9A0D-47B8-AF91-4EEA876BC1C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Fauziya Mohamedali</dc:creator>
  <cp:lastModifiedBy>Newlean, Michelle</cp:lastModifiedBy>
  <cp:revision>4</cp:revision>
  <dcterms:created xsi:type="dcterms:W3CDTF">2020-04-28T15:27:00Z</dcterms:created>
  <dcterms:modified xsi:type="dcterms:W3CDTF">2020-04-28T21:19:00Z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0x0101009FE922B46EC84E4E9E7086AEA3377B55</vt:lpwstr>
  </property>
</Properties>
</file>